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3A" w:rsidRPr="006627F2" w:rsidRDefault="00F9124E" w:rsidP="00F9124E">
      <w:pPr>
        <w:spacing w:line="240" w:lineRule="auto"/>
        <w:jc w:val="right"/>
        <w:rPr>
          <w:rFonts w:cstheme="minorHAnsi"/>
          <w:b/>
          <w:lang w:val="uz-Cyrl-UZ"/>
        </w:rPr>
      </w:pPr>
      <w:r w:rsidRPr="006627F2">
        <w:rPr>
          <w:rFonts w:cstheme="minorHAnsi"/>
          <w:b/>
          <w:lang w:val="uz-Cyrl-UZ"/>
        </w:rPr>
        <w:t>1-ИЛОВА</w:t>
      </w:r>
    </w:p>
    <w:p w:rsidR="00F9124E" w:rsidRPr="006627F2" w:rsidRDefault="00F9124E" w:rsidP="00F9124E">
      <w:pPr>
        <w:spacing w:line="240" w:lineRule="auto"/>
        <w:jc w:val="right"/>
        <w:rPr>
          <w:rFonts w:cstheme="minorHAnsi"/>
          <w:b/>
          <w:lang w:val="uz-Cyrl-UZ"/>
        </w:rPr>
      </w:pPr>
      <w:r w:rsidRPr="006627F2">
        <w:rPr>
          <w:rFonts w:cstheme="minorHAnsi"/>
          <w:b/>
          <w:lang w:val="uz-Cyrl-UZ"/>
        </w:rPr>
        <w:t>40-банд</w:t>
      </w:r>
    </w:p>
    <w:p w:rsidR="00F9124E" w:rsidRPr="006627F2" w:rsidRDefault="00F9124E" w:rsidP="00F9124E">
      <w:pPr>
        <w:spacing w:line="240" w:lineRule="auto"/>
        <w:jc w:val="center"/>
        <w:rPr>
          <w:rFonts w:cstheme="minorHAnsi"/>
          <w:b/>
          <w:sz w:val="28"/>
          <w:szCs w:val="28"/>
          <w:lang w:val="uz-Cyrl-UZ"/>
        </w:rPr>
      </w:pPr>
      <w:r w:rsidRPr="006627F2">
        <w:rPr>
          <w:rFonts w:cstheme="minorHAnsi"/>
          <w:b/>
          <w:sz w:val="28"/>
          <w:szCs w:val="28"/>
          <w:lang w:val="uz-Cyrl-UZ"/>
        </w:rPr>
        <w:t>Ўзбекистон Республикаси Рақобатни ривожлантириш ва истеъмолчилар ҳуқуқларини ҳимоя қилиш қўмитаси томонидан нодавлат нготижорат ташкилотларга тақдим этилган грант ва ижтимоий буюртма лойиҳалари ҳақидаги маълумотлар, шу жумладан ғолиб бўлган нодавлат нотижорат ташкилотлари ва уларнинг бу</w:t>
      </w:r>
      <w:r w:rsidR="00EC6809" w:rsidRPr="006627F2">
        <w:rPr>
          <w:rFonts w:cstheme="minorHAnsi"/>
          <w:b/>
          <w:sz w:val="28"/>
          <w:szCs w:val="28"/>
          <w:lang w:val="uz-Cyrl-UZ"/>
        </w:rPr>
        <w:t>юртм</w:t>
      </w:r>
      <w:r w:rsidR="00C80F62">
        <w:rPr>
          <w:rFonts w:cstheme="minorHAnsi"/>
          <w:b/>
          <w:sz w:val="28"/>
          <w:szCs w:val="28"/>
          <w:lang w:val="uz-Cyrl-UZ"/>
        </w:rPr>
        <w:t>а асосида 2025</w:t>
      </w:r>
      <w:r w:rsidR="00DE1265">
        <w:rPr>
          <w:rFonts w:cstheme="minorHAnsi"/>
          <w:b/>
          <w:sz w:val="28"/>
          <w:szCs w:val="28"/>
          <w:lang w:val="uz-Cyrl-UZ"/>
        </w:rPr>
        <w:t xml:space="preserve">-йил </w:t>
      </w:r>
      <w:r w:rsidR="001D554B">
        <w:rPr>
          <w:rFonts w:cstheme="minorHAnsi"/>
          <w:b/>
          <w:sz w:val="28"/>
          <w:szCs w:val="28"/>
          <w:lang w:val="uz-Cyrl-UZ"/>
        </w:rPr>
        <w:t>1-</w:t>
      </w:r>
      <w:r w:rsidR="00C80F62">
        <w:rPr>
          <w:rFonts w:cstheme="minorHAnsi"/>
          <w:b/>
          <w:sz w:val="28"/>
          <w:szCs w:val="28"/>
          <w:lang w:val="uz-Cyrl-UZ"/>
        </w:rPr>
        <w:t>ярим йил</w:t>
      </w:r>
      <w:r w:rsidR="001D554B">
        <w:rPr>
          <w:rFonts w:cstheme="minorHAnsi"/>
          <w:b/>
          <w:sz w:val="28"/>
          <w:szCs w:val="28"/>
          <w:lang w:val="uz-Cyrl-UZ"/>
        </w:rPr>
        <w:t>лиги</w:t>
      </w:r>
      <w:bookmarkStart w:id="0" w:name="_GoBack"/>
      <w:bookmarkEnd w:id="0"/>
      <w:r w:rsidRPr="006627F2">
        <w:rPr>
          <w:rFonts w:cstheme="minorHAnsi"/>
          <w:b/>
          <w:sz w:val="28"/>
          <w:szCs w:val="28"/>
          <w:lang w:val="uz-Cyrl-UZ"/>
        </w:rPr>
        <w:t>да бажарган ишларлари юзасидан ҳисоботлари ҳақидаги</w:t>
      </w:r>
    </w:p>
    <w:p w:rsidR="00F9124E" w:rsidRPr="006627F2" w:rsidRDefault="00F9124E" w:rsidP="00F9124E">
      <w:pPr>
        <w:spacing w:line="240" w:lineRule="auto"/>
        <w:jc w:val="center"/>
        <w:rPr>
          <w:rFonts w:cstheme="minorHAnsi"/>
          <w:b/>
          <w:sz w:val="28"/>
          <w:szCs w:val="28"/>
          <w:lang w:val="uz-Cyrl-UZ"/>
        </w:rPr>
      </w:pPr>
      <w:r w:rsidRPr="006627F2">
        <w:rPr>
          <w:rFonts w:cstheme="minorHAnsi"/>
          <w:b/>
          <w:sz w:val="28"/>
          <w:szCs w:val="28"/>
          <w:lang w:val="uz-Cyrl-UZ"/>
        </w:rPr>
        <w:t>МАЪЛУМОТЛАР</w:t>
      </w:r>
    </w:p>
    <w:tbl>
      <w:tblPr>
        <w:tblStyle w:val="a3"/>
        <w:tblW w:w="14727" w:type="dxa"/>
        <w:tblLook w:val="04A0" w:firstRow="1" w:lastRow="0" w:firstColumn="1" w:lastColumn="0" w:noHBand="0" w:noVBand="1"/>
      </w:tblPr>
      <w:tblGrid>
        <w:gridCol w:w="637"/>
        <w:gridCol w:w="11265"/>
        <w:gridCol w:w="2825"/>
      </w:tblGrid>
      <w:tr w:rsidR="00F9124E" w:rsidRPr="006627F2" w:rsidTr="006627F2">
        <w:tc>
          <w:tcPr>
            <w:tcW w:w="637" w:type="dxa"/>
          </w:tcPr>
          <w:p w:rsidR="00F9124E" w:rsidRPr="006627F2" w:rsidRDefault="00EC6809" w:rsidP="00F9124E">
            <w:pPr>
              <w:jc w:val="center"/>
              <w:rPr>
                <w:rFonts w:cstheme="minorHAnsi"/>
                <w:b/>
                <w:sz w:val="28"/>
                <w:szCs w:val="28"/>
              </w:rPr>
            </w:pPr>
            <w:r w:rsidRPr="006627F2">
              <w:rPr>
                <w:rFonts w:cstheme="minorHAnsi"/>
                <w:b/>
                <w:sz w:val="28"/>
                <w:szCs w:val="28"/>
                <w:lang w:val="uz-Cyrl-UZ"/>
              </w:rPr>
              <w:t>Т</w:t>
            </w:r>
            <w:r w:rsidR="00F9124E" w:rsidRPr="006627F2">
              <w:rPr>
                <w:rFonts w:cstheme="minorHAnsi"/>
                <w:b/>
                <w:sz w:val="28"/>
                <w:szCs w:val="28"/>
                <w:lang w:val="uz-Cyrl-UZ"/>
              </w:rPr>
              <w:t>/р</w:t>
            </w:r>
          </w:p>
        </w:tc>
        <w:tc>
          <w:tcPr>
            <w:tcW w:w="11265"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Маълумот тоифаси</w:t>
            </w:r>
          </w:p>
        </w:tc>
        <w:tc>
          <w:tcPr>
            <w:tcW w:w="2825"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Маълумот таснифи</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1.</w:t>
            </w:r>
          </w:p>
        </w:tc>
        <w:tc>
          <w:tcPr>
            <w:tcW w:w="11265" w:type="dxa"/>
          </w:tcPr>
          <w:p w:rsidR="00F9124E" w:rsidRPr="006627F2" w:rsidRDefault="00F9124E" w:rsidP="00F9124E">
            <w:pPr>
              <w:jc w:val="both"/>
              <w:rPr>
                <w:rFonts w:cstheme="minorHAnsi"/>
                <w:b/>
                <w:sz w:val="28"/>
                <w:szCs w:val="28"/>
                <w:lang w:val="uz-Cyrl-UZ"/>
              </w:rPr>
            </w:pPr>
            <w:r w:rsidRPr="006627F2">
              <w:rPr>
                <w:rFonts w:cstheme="minorHAnsi"/>
                <w:b/>
                <w:sz w:val="28"/>
                <w:szCs w:val="28"/>
                <w:lang w:val="uz-Cyrl-UZ"/>
              </w:rPr>
              <w:t>Давлат органи (ташкилот) номи:</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2.</w:t>
            </w:r>
          </w:p>
        </w:tc>
        <w:tc>
          <w:tcPr>
            <w:tcW w:w="11265" w:type="dxa"/>
          </w:tcPr>
          <w:p w:rsidR="00F9124E" w:rsidRPr="006627F2" w:rsidRDefault="00F9124E" w:rsidP="00F9124E">
            <w:pPr>
              <w:jc w:val="both"/>
              <w:rPr>
                <w:rFonts w:cstheme="minorHAnsi"/>
                <w:sz w:val="28"/>
                <w:szCs w:val="28"/>
                <w:lang w:val="uz-Cyrl-UZ"/>
              </w:rPr>
            </w:pPr>
            <w:r w:rsidRPr="006627F2">
              <w:rPr>
                <w:rFonts w:cstheme="minorHAnsi"/>
                <w:b/>
                <w:sz w:val="28"/>
                <w:szCs w:val="28"/>
                <w:lang w:val="uz-Cyrl-UZ"/>
              </w:rPr>
              <w:t>Тақдим қилинган грант ёки ижтимоий буюртма миқдори</w:t>
            </w:r>
            <w:r w:rsidRPr="006627F2">
              <w:rPr>
                <w:rFonts w:cstheme="minorHAnsi"/>
                <w:sz w:val="28"/>
                <w:szCs w:val="28"/>
                <w:lang w:val="uz-Cyrl-UZ"/>
              </w:rPr>
              <w:t xml:space="preserve"> (</w:t>
            </w:r>
            <w:r w:rsidRPr="006627F2">
              <w:rPr>
                <w:rFonts w:cstheme="minorHAnsi"/>
                <w:i/>
                <w:sz w:val="28"/>
                <w:szCs w:val="28"/>
                <w:lang w:val="uz-Cyrl-UZ"/>
              </w:rPr>
              <w:t>қиймати</w:t>
            </w:r>
            <w:r w:rsidRPr="006627F2">
              <w:rPr>
                <w:rFonts w:cstheme="minorHAnsi"/>
                <w:sz w:val="28"/>
                <w:szCs w:val="28"/>
                <w:lang w:val="uz-Cyrl-UZ"/>
              </w:rPr>
              <w:t>)</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3.</w:t>
            </w:r>
          </w:p>
        </w:tc>
        <w:tc>
          <w:tcPr>
            <w:tcW w:w="11265" w:type="dxa"/>
          </w:tcPr>
          <w:p w:rsidR="00F9124E" w:rsidRPr="006627F2" w:rsidRDefault="00F9124E" w:rsidP="00F9124E">
            <w:pPr>
              <w:jc w:val="both"/>
              <w:rPr>
                <w:rFonts w:cstheme="minorHAnsi"/>
                <w:sz w:val="28"/>
                <w:szCs w:val="28"/>
                <w:lang w:val="uz-Cyrl-UZ"/>
              </w:rPr>
            </w:pPr>
            <w:r w:rsidRPr="006627F2">
              <w:rPr>
                <w:rFonts w:cstheme="minorHAnsi"/>
                <w:b/>
                <w:sz w:val="28"/>
                <w:szCs w:val="28"/>
                <w:lang w:val="uz-Cyrl-UZ"/>
              </w:rPr>
              <w:t>Ғолиб бўлган нодавлат нотижорат</w:t>
            </w:r>
            <w:r w:rsidRPr="006627F2">
              <w:rPr>
                <w:rFonts w:cstheme="minorHAnsi"/>
                <w:sz w:val="28"/>
                <w:szCs w:val="28"/>
                <w:lang w:val="uz-Cyrl-UZ"/>
              </w:rPr>
              <w:t xml:space="preserve"> (</w:t>
            </w:r>
            <w:r w:rsidRPr="006627F2">
              <w:rPr>
                <w:rFonts w:cstheme="minorHAnsi"/>
                <w:i/>
                <w:sz w:val="28"/>
                <w:szCs w:val="28"/>
                <w:lang w:val="uz-Cyrl-UZ"/>
              </w:rPr>
              <w:t>ташкилот номи</w:t>
            </w:r>
            <w:r w:rsidRPr="006627F2">
              <w:rPr>
                <w:rFonts w:cstheme="minorHAnsi"/>
                <w:sz w:val="28"/>
                <w:szCs w:val="28"/>
                <w:lang w:val="uz-Cyrl-UZ"/>
              </w:rPr>
              <w:t>) :</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4.</w:t>
            </w:r>
          </w:p>
        </w:tc>
        <w:tc>
          <w:tcPr>
            <w:tcW w:w="11265" w:type="dxa"/>
          </w:tcPr>
          <w:p w:rsidR="00F9124E" w:rsidRPr="006627F2" w:rsidRDefault="00F9124E" w:rsidP="00F9124E">
            <w:pPr>
              <w:jc w:val="both"/>
              <w:rPr>
                <w:rFonts w:cstheme="minorHAnsi"/>
                <w:sz w:val="28"/>
                <w:szCs w:val="28"/>
                <w:lang w:val="uz-Cyrl-UZ"/>
              </w:rPr>
            </w:pPr>
            <w:r w:rsidRPr="006627F2">
              <w:rPr>
                <w:rFonts w:cstheme="minorHAnsi"/>
                <w:b/>
                <w:sz w:val="28"/>
                <w:szCs w:val="28"/>
                <w:lang w:val="uz-Cyrl-UZ"/>
              </w:rPr>
              <w:t>Грант ёки ижтимоий буюртма ҳақидаги умумий маълумотлар</w:t>
            </w:r>
            <w:r w:rsidR="00EC6809" w:rsidRPr="006627F2">
              <w:rPr>
                <w:rFonts w:cstheme="minorHAnsi"/>
                <w:sz w:val="28"/>
                <w:szCs w:val="28"/>
                <w:lang w:val="uz-Cyrl-UZ"/>
              </w:rPr>
              <w:t xml:space="preserve"> </w:t>
            </w:r>
            <w:r w:rsidR="00EC6809" w:rsidRPr="006627F2">
              <w:rPr>
                <w:rFonts w:cstheme="minorHAnsi"/>
                <w:i/>
                <w:sz w:val="28"/>
                <w:szCs w:val="28"/>
                <w:lang w:val="uz-Cyrl-UZ"/>
              </w:rPr>
              <w:t>(лойиҳа мақсади ва вазифалари)</w:t>
            </w:r>
            <w:r w:rsidR="006627F2" w:rsidRPr="006627F2">
              <w:rPr>
                <w:rFonts w:cstheme="minorHAnsi"/>
                <w:i/>
                <w:sz w:val="28"/>
                <w:szCs w:val="28"/>
                <w:lang w:val="uz-Cyrl-UZ"/>
              </w:rPr>
              <w:t>:</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5.</w:t>
            </w:r>
          </w:p>
        </w:tc>
        <w:tc>
          <w:tcPr>
            <w:tcW w:w="11265" w:type="dxa"/>
          </w:tcPr>
          <w:p w:rsidR="00F9124E" w:rsidRPr="006627F2" w:rsidRDefault="00F9124E" w:rsidP="00F9124E">
            <w:pPr>
              <w:jc w:val="both"/>
              <w:rPr>
                <w:rFonts w:cstheme="minorHAnsi"/>
                <w:b/>
                <w:sz w:val="28"/>
                <w:szCs w:val="28"/>
                <w:lang w:val="uz-Cyrl-UZ"/>
              </w:rPr>
            </w:pPr>
            <w:r w:rsidRPr="006627F2">
              <w:rPr>
                <w:rFonts w:cstheme="minorHAnsi"/>
                <w:b/>
                <w:sz w:val="28"/>
                <w:szCs w:val="28"/>
                <w:lang w:val="uz-Cyrl-UZ"/>
              </w:rPr>
              <w:t>Лойиҳани бажаришдан кутилаётган натижа:</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6.</w:t>
            </w:r>
          </w:p>
        </w:tc>
        <w:tc>
          <w:tcPr>
            <w:tcW w:w="11265" w:type="dxa"/>
          </w:tcPr>
          <w:p w:rsidR="00F9124E" w:rsidRPr="006627F2" w:rsidRDefault="00EC6809" w:rsidP="00F9124E">
            <w:pPr>
              <w:jc w:val="both"/>
              <w:rPr>
                <w:rFonts w:cstheme="minorHAnsi"/>
                <w:b/>
                <w:sz w:val="28"/>
                <w:szCs w:val="28"/>
                <w:lang w:val="uz-Cyrl-UZ"/>
              </w:rPr>
            </w:pPr>
            <w:r w:rsidRPr="006627F2">
              <w:rPr>
                <w:rFonts w:cstheme="minorHAnsi"/>
                <w:b/>
                <w:sz w:val="28"/>
                <w:szCs w:val="28"/>
                <w:lang w:val="uz-Cyrl-UZ"/>
              </w:rPr>
              <w:t>Лойиҳани бажариш муддати:</w:t>
            </w:r>
          </w:p>
        </w:tc>
        <w:tc>
          <w:tcPr>
            <w:tcW w:w="2825" w:type="dxa"/>
          </w:tcPr>
          <w:p w:rsidR="00F9124E" w:rsidRPr="006627F2" w:rsidRDefault="00EC6809" w:rsidP="00F9124E">
            <w:pPr>
              <w:jc w:val="center"/>
              <w:rPr>
                <w:rFonts w:cstheme="minorHAnsi"/>
                <w:sz w:val="28"/>
                <w:szCs w:val="28"/>
                <w:lang w:val="uz-Cyrl-UZ"/>
              </w:rPr>
            </w:pPr>
            <w:r w:rsidRPr="006627F2">
              <w:rPr>
                <w:rFonts w:cstheme="minorHAnsi"/>
                <w:sz w:val="28"/>
                <w:szCs w:val="28"/>
                <w:lang w:val="uz-Cyrl-UZ"/>
              </w:rPr>
              <w:t>-</w:t>
            </w:r>
          </w:p>
        </w:tc>
      </w:tr>
      <w:tr w:rsidR="00EC6809" w:rsidRPr="006627F2" w:rsidTr="006627F2">
        <w:tc>
          <w:tcPr>
            <w:tcW w:w="637" w:type="dxa"/>
          </w:tcPr>
          <w:p w:rsidR="00EC6809" w:rsidRPr="006627F2" w:rsidRDefault="00EC6809" w:rsidP="00F9124E">
            <w:pPr>
              <w:jc w:val="center"/>
              <w:rPr>
                <w:rFonts w:cstheme="minorHAnsi"/>
                <w:b/>
                <w:sz w:val="28"/>
                <w:szCs w:val="28"/>
                <w:lang w:val="uz-Cyrl-UZ"/>
              </w:rPr>
            </w:pPr>
            <w:r w:rsidRPr="006627F2">
              <w:rPr>
                <w:rFonts w:cstheme="minorHAnsi"/>
                <w:b/>
                <w:sz w:val="28"/>
                <w:szCs w:val="28"/>
                <w:lang w:val="uz-Cyrl-UZ"/>
              </w:rPr>
              <w:t>7.</w:t>
            </w:r>
          </w:p>
        </w:tc>
        <w:tc>
          <w:tcPr>
            <w:tcW w:w="11265" w:type="dxa"/>
          </w:tcPr>
          <w:p w:rsidR="00EC6809" w:rsidRPr="006627F2" w:rsidRDefault="00EC6809" w:rsidP="00F9124E">
            <w:pPr>
              <w:jc w:val="both"/>
              <w:rPr>
                <w:rFonts w:cstheme="minorHAnsi"/>
                <w:b/>
                <w:sz w:val="28"/>
                <w:szCs w:val="28"/>
                <w:lang w:val="uz-Cyrl-UZ"/>
              </w:rPr>
            </w:pPr>
            <w:r w:rsidRPr="006627F2">
              <w:rPr>
                <w:rFonts w:cstheme="minorHAnsi"/>
                <w:b/>
                <w:sz w:val="28"/>
                <w:szCs w:val="28"/>
                <w:lang w:val="uz-Cyrl-UZ"/>
              </w:rPr>
              <w:t>Буюртма доирасида бажарилган ишлар ҳақидаги маълумот:</w:t>
            </w:r>
          </w:p>
        </w:tc>
        <w:tc>
          <w:tcPr>
            <w:tcW w:w="2825" w:type="dxa"/>
          </w:tcPr>
          <w:p w:rsidR="00EC6809" w:rsidRPr="006627F2" w:rsidRDefault="00EC6809" w:rsidP="00F9124E">
            <w:pPr>
              <w:jc w:val="center"/>
              <w:rPr>
                <w:rFonts w:cstheme="minorHAnsi"/>
                <w:sz w:val="28"/>
                <w:szCs w:val="28"/>
                <w:lang w:val="uz-Cyrl-UZ"/>
              </w:rPr>
            </w:pPr>
            <w:r w:rsidRPr="006627F2">
              <w:rPr>
                <w:rFonts w:cstheme="minorHAnsi"/>
                <w:sz w:val="28"/>
                <w:szCs w:val="28"/>
                <w:lang w:val="uz-Cyrl-UZ"/>
              </w:rPr>
              <w:t>-</w:t>
            </w:r>
          </w:p>
        </w:tc>
      </w:tr>
    </w:tbl>
    <w:p w:rsidR="00F9124E" w:rsidRPr="006627F2" w:rsidRDefault="00F9124E" w:rsidP="00F9124E">
      <w:pPr>
        <w:spacing w:line="240" w:lineRule="auto"/>
        <w:jc w:val="center"/>
        <w:rPr>
          <w:rFonts w:cstheme="minorHAnsi"/>
          <w:sz w:val="28"/>
          <w:szCs w:val="28"/>
          <w:lang w:val="uz-Cyrl-UZ"/>
        </w:rPr>
      </w:pPr>
    </w:p>
    <w:p w:rsidR="00EC6809" w:rsidRPr="006627F2" w:rsidRDefault="00EC6809" w:rsidP="00EC6809">
      <w:pPr>
        <w:spacing w:line="240" w:lineRule="auto"/>
        <w:ind w:firstLine="709"/>
        <w:jc w:val="both"/>
        <w:rPr>
          <w:rFonts w:cstheme="minorHAnsi"/>
          <w:sz w:val="24"/>
          <w:szCs w:val="24"/>
          <w:lang w:val="uz-Cyrl-UZ"/>
        </w:rPr>
      </w:pPr>
      <w:r w:rsidRPr="006627F2">
        <w:rPr>
          <w:rFonts w:cstheme="minorHAnsi"/>
          <w:sz w:val="24"/>
          <w:szCs w:val="24"/>
          <w:lang w:val="uz-Cyrl-UZ"/>
        </w:rPr>
        <w:t>Изоҳ:</w:t>
      </w:r>
    </w:p>
    <w:p w:rsidR="00EC6809" w:rsidRPr="006627F2" w:rsidRDefault="00EC6809" w:rsidP="00EC6809">
      <w:pPr>
        <w:pStyle w:val="a4"/>
        <w:numPr>
          <w:ilvl w:val="0"/>
          <w:numId w:val="1"/>
        </w:numPr>
        <w:spacing w:line="240" w:lineRule="auto"/>
        <w:ind w:left="0" w:firstLine="633"/>
        <w:jc w:val="both"/>
        <w:rPr>
          <w:rFonts w:cstheme="minorHAnsi"/>
          <w:sz w:val="24"/>
          <w:szCs w:val="24"/>
          <w:lang w:val="uz-Cyrl-UZ"/>
        </w:rPr>
      </w:pPr>
      <w:r w:rsidRPr="006627F2">
        <w:rPr>
          <w:rFonts w:cstheme="minorHAnsi"/>
          <w:sz w:val="24"/>
          <w:szCs w:val="24"/>
          <w:lang w:val="uz-Cyrl-UZ"/>
        </w:rPr>
        <w:t>Маълумотлар ҳар бир грант ёки ижтимоий буюртма асосида шакллантирилиб, давлат органлари ва ташкилотларнинг расмий веб-сайти саҳифасида жойлаштирилади;</w:t>
      </w:r>
    </w:p>
    <w:p w:rsidR="00EC6809" w:rsidRPr="006627F2" w:rsidRDefault="00EC6809" w:rsidP="00EC6809">
      <w:pPr>
        <w:pStyle w:val="a4"/>
        <w:numPr>
          <w:ilvl w:val="0"/>
          <w:numId w:val="1"/>
        </w:numPr>
        <w:spacing w:line="240" w:lineRule="auto"/>
        <w:ind w:left="0" w:firstLine="633"/>
        <w:jc w:val="both"/>
        <w:rPr>
          <w:rFonts w:cstheme="minorHAnsi"/>
          <w:sz w:val="24"/>
          <w:szCs w:val="24"/>
          <w:lang w:val="uz-Cyrl-UZ"/>
        </w:rPr>
      </w:pPr>
      <w:r w:rsidRPr="006627F2">
        <w:rPr>
          <w:rFonts w:cstheme="minorHAnsi"/>
          <w:sz w:val="24"/>
          <w:szCs w:val="24"/>
          <w:lang w:val="uz-Cyrl-UZ"/>
        </w:rPr>
        <w:t xml:space="preserve">7-сатрда </w:t>
      </w:r>
      <w:r w:rsidRPr="006627F2">
        <w:rPr>
          <w:rFonts w:cstheme="minorHAnsi"/>
          <w:b/>
          <w:sz w:val="24"/>
          <w:szCs w:val="24"/>
          <w:lang w:val="uz-Cyrl-UZ"/>
        </w:rPr>
        <w:t>(“Буюртма доирасида бажарган ишлар ҳақида маълумот”)</w:t>
      </w:r>
      <w:r w:rsidRPr="006627F2">
        <w:rPr>
          <w:rFonts w:cstheme="minorHAnsi"/>
          <w:sz w:val="24"/>
          <w:szCs w:val="24"/>
          <w:lang w:val="uz-Cyrl-UZ"/>
        </w:rPr>
        <w:t xml:space="preserve"> матнли шаклда амалга оширилган ишлар ҳақидаги маълумотлар ҳақида қисқача ахборот киритилади (ахборот лўнда, оддий ва равон тилда баён этилиши, шунингдек кенг жамоатчилик учун долзарб маълумотларни қамраб олган бўлиши лозим);</w:t>
      </w:r>
    </w:p>
    <w:p w:rsidR="00EC6809" w:rsidRPr="006627F2" w:rsidRDefault="00EC6809" w:rsidP="00EC6809">
      <w:pPr>
        <w:pStyle w:val="a4"/>
        <w:numPr>
          <w:ilvl w:val="0"/>
          <w:numId w:val="1"/>
        </w:numPr>
        <w:spacing w:line="240" w:lineRule="auto"/>
        <w:ind w:left="0" w:firstLine="633"/>
        <w:jc w:val="both"/>
        <w:rPr>
          <w:rFonts w:cstheme="minorHAnsi"/>
          <w:sz w:val="24"/>
          <w:szCs w:val="24"/>
          <w:lang w:val="uz-Cyrl-UZ"/>
        </w:rPr>
      </w:pPr>
      <w:r w:rsidRPr="006627F2">
        <w:rPr>
          <w:rFonts w:cstheme="minorHAnsi"/>
          <w:sz w:val="24"/>
          <w:szCs w:val="24"/>
          <w:lang w:val="uz-Cyrl-UZ"/>
        </w:rPr>
        <w:t xml:space="preserve">Маълумотлар ҳар бир грант ёки ижтимоий буюртма кесимида, ҳар ярим йилликда (I-ярим йиллик ҳар йили 15 июлга қадар, </w:t>
      </w:r>
      <w:r w:rsidRPr="006627F2">
        <w:rPr>
          <w:rFonts w:cstheme="minorHAnsi"/>
          <w:sz w:val="24"/>
          <w:szCs w:val="24"/>
          <w:lang w:val="uz-Cyrl-UZ"/>
        </w:rPr>
        <w:br/>
        <w:t>II-ярим йиллик кейинги йилнинг 15 январига қадар) белгиланган ахборот ресурсида жойлаштирилиб борилиши лозим.</w:t>
      </w:r>
    </w:p>
    <w:sectPr w:rsidR="00EC6809" w:rsidRPr="006627F2" w:rsidSect="00F9124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E7550"/>
    <w:multiLevelType w:val="hybridMultilevel"/>
    <w:tmpl w:val="C5B8CB3A"/>
    <w:lvl w:ilvl="0" w:tplc="98B4C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4E"/>
    <w:rsid w:val="001D554B"/>
    <w:rsid w:val="006627F2"/>
    <w:rsid w:val="006B7E15"/>
    <w:rsid w:val="009E463A"/>
    <w:rsid w:val="00C80F62"/>
    <w:rsid w:val="00DE1265"/>
    <w:rsid w:val="00EC6809"/>
    <w:rsid w:val="00F9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6411F-EBEF-410A-8B63-F60CB053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6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Дилшод А. Абдулхамидов</dc:creator>
  <cp:keywords/>
  <dc:description/>
  <cp:lastModifiedBy>Низомиддин Ш. Амиров</cp:lastModifiedBy>
  <cp:revision>5</cp:revision>
  <dcterms:created xsi:type="dcterms:W3CDTF">2024-07-15T06:27:00Z</dcterms:created>
  <dcterms:modified xsi:type="dcterms:W3CDTF">2025-07-03T07:23:00Z</dcterms:modified>
</cp:coreProperties>
</file>