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BC0" w:rsidRDefault="004E42DD" w:rsidP="000C07A2">
      <w:pPr>
        <w:spacing w:after="0" w:line="276" w:lineRule="auto"/>
        <w:jc w:val="center"/>
        <w:rPr>
          <w:rFonts w:ascii="Times New Roman" w:hAnsi="Times New Roman" w:cs="Times New Roman"/>
          <w:b/>
          <w:sz w:val="28"/>
          <w:lang w:val="uz-Cyrl-UZ"/>
        </w:rPr>
      </w:pPr>
      <w:r w:rsidRPr="004E42DD">
        <w:rPr>
          <w:rFonts w:ascii="Times New Roman" w:hAnsi="Times New Roman" w:cs="Times New Roman"/>
          <w:b/>
          <w:sz w:val="28"/>
          <w:lang w:val="uz-Cyrl-UZ"/>
        </w:rPr>
        <w:t xml:space="preserve">O‘zbekiston Respublikasi Prezidentining 2023-yil 29-dekabrdagi PQ-422-son qarorining 7-ilovasiga asosan Raqobatni rivojlantirish va iste’molchilar huquqlarini himoya qilish qo‘mitasi tomonidan rivojlantirish dasturlari </w:t>
      </w:r>
      <w:r w:rsidR="00D162A0">
        <w:rPr>
          <w:rFonts w:ascii="Times New Roman" w:hAnsi="Times New Roman" w:cs="Times New Roman"/>
          <w:b/>
          <w:sz w:val="28"/>
          <w:lang w:val="uz-Cyrl-UZ"/>
        </w:rPr>
        <w:t>bo‘yicha</w:t>
      </w:r>
      <w:r>
        <w:rPr>
          <w:rFonts w:ascii="Times New Roman" w:hAnsi="Times New Roman" w:cs="Times New Roman"/>
          <w:b/>
          <w:sz w:val="28"/>
          <w:lang w:val="uz-Cyrl-UZ"/>
        </w:rPr>
        <w:br/>
      </w:r>
      <w:r w:rsidR="00D162A0" w:rsidRPr="00D162A0">
        <w:rPr>
          <w:rFonts w:ascii="Times New Roman" w:hAnsi="Times New Roman" w:cs="Times New Roman"/>
          <w:b/>
          <w:sz w:val="28"/>
          <w:lang w:val="uz-Cyrl-UZ"/>
        </w:rPr>
        <w:t>202</w:t>
      </w:r>
      <w:r>
        <w:rPr>
          <w:rFonts w:ascii="Times New Roman" w:hAnsi="Times New Roman" w:cs="Times New Roman"/>
          <w:b/>
          <w:sz w:val="28"/>
          <w:lang w:val="uz-Cyrl-UZ"/>
        </w:rPr>
        <w:t>4</w:t>
      </w:r>
      <w:r w:rsidR="00D162A0" w:rsidRPr="00D162A0">
        <w:rPr>
          <w:rFonts w:ascii="Times New Roman" w:hAnsi="Times New Roman" w:cs="Times New Roman"/>
          <w:b/>
          <w:sz w:val="28"/>
          <w:lang w:val="uz-Cyrl-UZ"/>
        </w:rPr>
        <w:t xml:space="preserve">-yil </w:t>
      </w:r>
      <w:r w:rsidR="000C07A2">
        <w:rPr>
          <w:rFonts w:ascii="Times New Roman" w:hAnsi="Times New Roman" w:cs="Times New Roman"/>
          <w:b/>
          <w:sz w:val="28"/>
          <w:lang w:val="en-US"/>
        </w:rPr>
        <w:t xml:space="preserve">I </w:t>
      </w:r>
      <w:proofErr w:type="spellStart"/>
      <w:r w:rsidR="000C07A2">
        <w:rPr>
          <w:rFonts w:ascii="Times New Roman" w:hAnsi="Times New Roman" w:cs="Times New Roman"/>
          <w:b/>
          <w:sz w:val="28"/>
          <w:lang w:val="en-US"/>
        </w:rPr>
        <w:t>choragida</w:t>
      </w:r>
      <w:proofErr w:type="spellEnd"/>
      <w:r w:rsidR="00AD5BCA" w:rsidRPr="00AD5BCA">
        <w:rPr>
          <w:rFonts w:ascii="Times New Roman" w:hAnsi="Times New Roman" w:cs="Times New Roman"/>
          <w:b/>
          <w:sz w:val="28"/>
          <w:lang w:val="uz-Cyrl-UZ"/>
        </w:rPr>
        <w:t xml:space="preserve"> </w:t>
      </w:r>
      <w:r w:rsidR="00D162A0" w:rsidRPr="00D162A0">
        <w:rPr>
          <w:rFonts w:ascii="Times New Roman" w:hAnsi="Times New Roman" w:cs="Times New Roman"/>
          <w:b/>
          <w:sz w:val="28"/>
          <w:lang w:val="uz-Cyrl-UZ"/>
        </w:rPr>
        <w:t>erishilgan natija ko‘rsatkichlari</w:t>
      </w:r>
    </w:p>
    <w:p w:rsidR="008439CF" w:rsidRPr="00002B4A" w:rsidRDefault="008439CF" w:rsidP="00002B4A">
      <w:pPr>
        <w:spacing w:after="0" w:line="240" w:lineRule="auto"/>
        <w:jc w:val="center"/>
        <w:rPr>
          <w:rFonts w:ascii="Times New Roman" w:hAnsi="Times New Roman" w:cs="Times New Roman"/>
          <w:b/>
          <w:sz w:val="20"/>
          <w:lang w:val="uz-Cyrl-UZ"/>
        </w:rPr>
      </w:pPr>
    </w:p>
    <w:tbl>
      <w:tblPr>
        <w:tblStyle w:val="a3"/>
        <w:tblW w:w="15163" w:type="dxa"/>
        <w:tblInd w:w="-147" w:type="dxa"/>
        <w:tblLayout w:type="fixed"/>
        <w:tblLook w:val="04A0" w:firstRow="1" w:lastRow="0" w:firstColumn="1" w:lastColumn="0" w:noHBand="0" w:noVBand="1"/>
      </w:tblPr>
      <w:tblGrid>
        <w:gridCol w:w="641"/>
        <w:gridCol w:w="3323"/>
        <w:gridCol w:w="993"/>
        <w:gridCol w:w="1322"/>
        <w:gridCol w:w="946"/>
        <w:gridCol w:w="894"/>
        <w:gridCol w:w="949"/>
        <w:gridCol w:w="6095"/>
      </w:tblGrid>
      <w:tr w:rsidR="000D44EB" w:rsidRPr="009C189C" w:rsidTr="009C189C">
        <w:trPr>
          <w:trHeight w:val="418"/>
          <w:tblHeader/>
        </w:trPr>
        <w:tc>
          <w:tcPr>
            <w:tcW w:w="641" w:type="dxa"/>
            <w:vMerge w:val="restart"/>
            <w:shd w:val="clear" w:color="auto" w:fill="BDD6EE" w:themeFill="accent1" w:themeFillTint="66"/>
            <w:vAlign w:val="center"/>
          </w:tcPr>
          <w:p w:rsidR="000D44EB" w:rsidRPr="009C189C" w:rsidRDefault="000D44EB" w:rsidP="003304EF">
            <w:pPr>
              <w:jc w:val="center"/>
              <w:rPr>
                <w:rFonts w:ascii="Times New Roman" w:hAnsi="Times New Roman" w:cs="Times New Roman"/>
                <w:b/>
                <w:sz w:val="18"/>
                <w:lang w:val="uz-Cyrl-UZ"/>
              </w:rPr>
            </w:pPr>
            <w:r w:rsidRPr="009C189C">
              <w:rPr>
                <w:rFonts w:ascii="Times New Roman" w:hAnsi="Times New Roman" w:cs="Times New Roman"/>
                <w:b/>
                <w:sz w:val="18"/>
                <w:lang w:val="uz-Cyrl-UZ"/>
              </w:rPr>
              <w:t>№</w:t>
            </w:r>
          </w:p>
        </w:tc>
        <w:tc>
          <w:tcPr>
            <w:tcW w:w="3323" w:type="dxa"/>
            <w:vMerge w:val="restart"/>
            <w:shd w:val="clear" w:color="auto" w:fill="BDD6EE" w:themeFill="accent1" w:themeFillTint="66"/>
            <w:vAlign w:val="center"/>
          </w:tcPr>
          <w:p w:rsidR="000D44EB" w:rsidRPr="009C189C" w:rsidRDefault="000D44EB" w:rsidP="003304EF">
            <w:pPr>
              <w:jc w:val="center"/>
              <w:rPr>
                <w:rFonts w:ascii="Times New Roman" w:hAnsi="Times New Roman" w:cs="Times New Roman"/>
                <w:b/>
                <w:sz w:val="18"/>
                <w:lang w:val="uz-Cyrl-UZ"/>
              </w:rPr>
            </w:pPr>
            <w:r w:rsidRPr="009C189C">
              <w:rPr>
                <w:rFonts w:ascii="Times New Roman" w:hAnsi="Times New Roman" w:cs="Times New Roman"/>
                <w:b/>
                <w:sz w:val="18"/>
                <w:lang w:val="uz-Cyrl-UZ"/>
              </w:rPr>
              <w:t>Maqsadli indikator nomi</w:t>
            </w:r>
          </w:p>
        </w:tc>
        <w:tc>
          <w:tcPr>
            <w:tcW w:w="993" w:type="dxa"/>
            <w:vMerge w:val="restart"/>
            <w:shd w:val="clear" w:color="auto" w:fill="BDD6EE" w:themeFill="accent1" w:themeFillTint="66"/>
            <w:vAlign w:val="center"/>
          </w:tcPr>
          <w:p w:rsidR="000D44EB" w:rsidRPr="009C189C" w:rsidRDefault="000D44EB" w:rsidP="003304EF">
            <w:pPr>
              <w:jc w:val="center"/>
              <w:rPr>
                <w:rFonts w:ascii="Times New Roman" w:hAnsi="Times New Roman" w:cs="Times New Roman"/>
                <w:b/>
                <w:sz w:val="18"/>
                <w:lang w:val="uz-Cyrl-UZ"/>
              </w:rPr>
            </w:pPr>
            <w:r w:rsidRPr="009C189C">
              <w:rPr>
                <w:rFonts w:ascii="Times New Roman" w:hAnsi="Times New Roman" w:cs="Times New Roman"/>
                <w:b/>
                <w:sz w:val="18"/>
                <w:lang w:val="uz-Cyrl-UZ"/>
              </w:rPr>
              <w:t>O‘lchov</w:t>
            </w:r>
          </w:p>
          <w:p w:rsidR="000D44EB" w:rsidRPr="009C189C" w:rsidRDefault="000D44EB" w:rsidP="003304EF">
            <w:pPr>
              <w:jc w:val="center"/>
              <w:rPr>
                <w:rFonts w:ascii="Times New Roman" w:hAnsi="Times New Roman" w:cs="Times New Roman"/>
                <w:b/>
                <w:sz w:val="18"/>
                <w:lang w:val="uz-Cyrl-UZ"/>
              </w:rPr>
            </w:pPr>
            <w:r w:rsidRPr="009C189C">
              <w:rPr>
                <w:rFonts w:ascii="Times New Roman" w:hAnsi="Times New Roman" w:cs="Times New Roman"/>
                <w:b/>
                <w:sz w:val="18"/>
                <w:lang w:val="uz-Cyrl-UZ"/>
              </w:rPr>
              <w:t>birligi</w:t>
            </w:r>
          </w:p>
        </w:tc>
        <w:tc>
          <w:tcPr>
            <w:tcW w:w="1322" w:type="dxa"/>
            <w:vMerge w:val="restart"/>
            <w:shd w:val="clear" w:color="auto" w:fill="BDD6EE" w:themeFill="accent1" w:themeFillTint="66"/>
            <w:vAlign w:val="center"/>
          </w:tcPr>
          <w:p w:rsidR="000D44EB" w:rsidRPr="009C189C" w:rsidRDefault="000D44EB" w:rsidP="008B5D46">
            <w:pPr>
              <w:jc w:val="center"/>
              <w:rPr>
                <w:rFonts w:ascii="Times New Roman" w:hAnsi="Times New Roman" w:cs="Times New Roman"/>
                <w:b/>
                <w:sz w:val="18"/>
                <w:lang w:val="uz-Cyrl-UZ"/>
              </w:rPr>
            </w:pPr>
            <w:r w:rsidRPr="009C189C">
              <w:rPr>
                <w:rFonts w:ascii="Times New Roman" w:hAnsi="Times New Roman" w:cs="Times New Roman"/>
                <w:b/>
                <w:sz w:val="18"/>
                <w:lang w:val="uz-Cyrl-UZ"/>
              </w:rPr>
              <w:t>202</w:t>
            </w:r>
            <w:r w:rsidR="004E42DD">
              <w:rPr>
                <w:rFonts w:ascii="Times New Roman" w:hAnsi="Times New Roman" w:cs="Times New Roman"/>
                <w:b/>
                <w:sz w:val="18"/>
                <w:lang w:val="uz-Cyrl-UZ"/>
              </w:rPr>
              <w:t>4</w:t>
            </w:r>
            <w:r w:rsidRPr="009C189C">
              <w:rPr>
                <w:rFonts w:ascii="Times New Roman" w:hAnsi="Times New Roman" w:cs="Times New Roman"/>
                <w:b/>
                <w:sz w:val="18"/>
                <w:lang w:val="uz-Cyrl-UZ"/>
              </w:rPr>
              <w:t xml:space="preserve">-yil </w:t>
            </w:r>
            <w:r w:rsidR="00B93748">
              <w:rPr>
                <w:rFonts w:ascii="Times New Roman" w:hAnsi="Times New Roman" w:cs="Times New Roman"/>
                <w:b/>
                <w:sz w:val="18"/>
                <w:lang w:val="en-US"/>
              </w:rPr>
              <w:t xml:space="preserve"> </w:t>
            </w:r>
            <w:r w:rsidR="00B93748" w:rsidRPr="00B93748">
              <w:rPr>
                <w:rFonts w:ascii="Times New Roman" w:hAnsi="Times New Roman" w:cs="Times New Roman"/>
                <w:b/>
                <w:sz w:val="18"/>
                <w:lang w:val="uz-Cyrl-UZ"/>
              </w:rPr>
              <w:t xml:space="preserve"> </w:t>
            </w:r>
            <w:r w:rsidRPr="009C189C">
              <w:rPr>
                <w:rFonts w:ascii="Times New Roman" w:hAnsi="Times New Roman" w:cs="Times New Roman"/>
                <w:b/>
                <w:sz w:val="18"/>
                <w:lang w:val="uz-Cyrl-UZ"/>
              </w:rPr>
              <w:t>uchun maqsadli mo‘ljal</w:t>
            </w:r>
          </w:p>
        </w:tc>
        <w:tc>
          <w:tcPr>
            <w:tcW w:w="2789" w:type="dxa"/>
            <w:gridSpan w:val="3"/>
            <w:shd w:val="clear" w:color="auto" w:fill="BDD6EE" w:themeFill="accent1" w:themeFillTint="66"/>
            <w:vAlign w:val="center"/>
          </w:tcPr>
          <w:p w:rsidR="000D44EB" w:rsidRPr="009C189C" w:rsidRDefault="00F7303C" w:rsidP="004E42DD">
            <w:pPr>
              <w:jc w:val="center"/>
              <w:rPr>
                <w:rFonts w:ascii="Times New Roman" w:hAnsi="Times New Roman" w:cs="Times New Roman"/>
                <w:b/>
                <w:sz w:val="18"/>
                <w:lang w:val="uz-Cyrl-UZ"/>
              </w:rPr>
            </w:pPr>
            <w:r>
              <w:rPr>
                <w:rFonts w:ascii="Times New Roman" w:hAnsi="Times New Roman" w:cs="Times New Roman"/>
                <w:b/>
                <w:sz w:val="18"/>
                <w:lang w:val="uz-Cyrl-UZ"/>
              </w:rPr>
              <w:t xml:space="preserve">2024-yil </w:t>
            </w:r>
            <w:r w:rsidR="005157EF" w:rsidRPr="009C189C">
              <w:rPr>
                <w:rFonts w:ascii="Times New Roman" w:hAnsi="Times New Roman" w:cs="Times New Roman"/>
                <w:b/>
                <w:sz w:val="18"/>
                <w:lang w:val="uz-Cyrl-UZ"/>
              </w:rPr>
              <w:t>1-</w:t>
            </w:r>
            <w:proofErr w:type="spellStart"/>
            <w:r w:rsidR="004E42DD">
              <w:rPr>
                <w:rFonts w:ascii="Times New Roman" w:hAnsi="Times New Roman" w:cs="Times New Roman"/>
                <w:b/>
                <w:sz w:val="18"/>
                <w:lang w:val="en-US"/>
              </w:rPr>
              <w:t>aprel</w:t>
            </w:r>
            <w:proofErr w:type="spellEnd"/>
            <w:r w:rsidR="005157EF" w:rsidRPr="009C189C">
              <w:rPr>
                <w:rFonts w:ascii="Times New Roman" w:hAnsi="Times New Roman" w:cs="Times New Roman"/>
                <w:b/>
                <w:sz w:val="18"/>
                <w:lang w:val="uz-Cyrl-UZ"/>
              </w:rPr>
              <w:t xml:space="preserve"> </w:t>
            </w:r>
            <w:r w:rsidR="00EE3A4D" w:rsidRPr="009C189C">
              <w:rPr>
                <w:rFonts w:ascii="Times New Roman" w:hAnsi="Times New Roman" w:cs="Times New Roman"/>
                <w:b/>
                <w:sz w:val="18"/>
                <w:lang w:val="uz-Cyrl-UZ"/>
              </w:rPr>
              <w:t>holatiga</w:t>
            </w:r>
          </w:p>
        </w:tc>
        <w:tc>
          <w:tcPr>
            <w:tcW w:w="6095" w:type="dxa"/>
            <w:vMerge w:val="restart"/>
            <w:shd w:val="clear" w:color="auto" w:fill="BDD6EE" w:themeFill="accent1" w:themeFillTint="66"/>
            <w:vAlign w:val="center"/>
          </w:tcPr>
          <w:p w:rsidR="000D44EB" w:rsidRPr="009C189C" w:rsidRDefault="00EE3A4D" w:rsidP="000D44EB">
            <w:pPr>
              <w:jc w:val="center"/>
              <w:rPr>
                <w:rFonts w:ascii="Times New Roman" w:hAnsi="Times New Roman" w:cs="Times New Roman"/>
                <w:b/>
                <w:sz w:val="18"/>
                <w:lang w:val="uz-Cyrl-UZ"/>
              </w:rPr>
            </w:pPr>
            <w:r w:rsidRPr="009C189C">
              <w:rPr>
                <w:rFonts w:ascii="Times New Roman" w:hAnsi="Times New Roman" w:cs="Times New Roman"/>
                <w:b/>
                <w:sz w:val="18"/>
                <w:lang w:val="uz-Cyrl-UZ"/>
              </w:rPr>
              <w:t>Izoh</w:t>
            </w:r>
          </w:p>
        </w:tc>
      </w:tr>
      <w:tr w:rsidR="000D44EB" w:rsidRPr="009C189C" w:rsidTr="009C189C">
        <w:trPr>
          <w:trHeight w:val="553"/>
        </w:trPr>
        <w:tc>
          <w:tcPr>
            <w:tcW w:w="641" w:type="dxa"/>
            <w:vMerge/>
            <w:vAlign w:val="center"/>
          </w:tcPr>
          <w:p w:rsidR="000D44EB" w:rsidRPr="009C189C" w:rsidRDefault="000D44EB" w:rsidP="003304EF">
            <w:pPr>
              <w:jc w:val="center"/>
              <w:rPr>
                <w:rFonts w:ascii="Times New Roman" w:hAnsi="Times New Roman" w:cs="Times New Roman"/>
                <w:b/>
                <w:sz w:val="18"/>
                <w:lang w:val="uz-Cyrl-UZ"/>
              </w:rPr>
            </w:pPr>
          </w:p>
        </w:tc>
        <w:tc>
          <w:tcPr>
            <w:tcW w:w="3323" w:type="dxa"/>
            <w:vMerge/>
            <w:vAlign w:val="center"/>
          </w:tcPr>
          <w:p w:rsidR="000D44EB" w:rsidRPr="009C189C" w:rsidRDefault="000D44EB" w:rsidP="003304EF">
            <w:pPr>
              <w:jc w:val="center"/>
              <w:rPr>
                <w:rFonts w:ascii="Times New Roman" w:hAnsi="Times New Roman" w:cs="Times New Roman"/>
                <w:b/>
                <w:sz w:val="18"/>
                <w:lang w:val="uz-Cyrl-UZ"/>
              </w:rPr>
            </w:pPr>
          </w:p>
        </w:tc>
        <w:tc>
          <w:tcPr>
            <w:tcW w:w="993" w:type="dxa"/>
            <w:vMerge/>
            <w:vAlign w:val="center"/>
          </w:tcPr>
          <w:p w:rsidR="000D44EB" w:rsidRPr="009C189C" w:rsidRDefault="000D44EB" w:rsidP="003304EF">
            <w:pPr>
              <w:jc w:val="center"/>
              <w:rPr>
                <w:rFonts w:ascii="Times New Roman" w:hAnsi="Times New Roman" w:cs="Times New Roman"/>
                <w:b/>
                <w:sz w:val="18"/>
                <w:lang w:val="uz-Cyrl-UZ"/>
              </w:rPr>
            </w:pPr>
          </w:p>
        </w:tc>
        <w:tc>
          <w:tcPr>
            <w:tcW w:w="1322" w:type="dxa"/>
            <w:vMerge/>
            <w:vAlign w:val="center"/>
          </w:tcPr>
          <w:p w:rsidR="000D44EB" w:rsidRPr="009C189C" w:rsidRDefault="000D44EB" w:rsidP="003304EF">
            <w:pPr>
              <w:jc w:val="center"/>
              <w:rPr>
                <w:rFonts w:ascii="Times New Roman" w:hAnsi="Times New Roman" w:cs="Times New Roman"/>
                <w:b/>
                <w:sz w:val="18"/>
                <w:lang w:val="uz-Cyrl-UZ"/>
              </w:rPr>
            </w:pPr>
          </w:p>
        </w:tc>
        <w:tc>
          <w:tcPr>
            <w:tcW w:w="946" w:type="dxa"/>
            <w:shd w:val="clear" w:color="auto" w:fill="BDD6EE" w:themeFill="accent1" w:themeFillTint="66"/>
            <w:vAlign w:val="center"/>
          </w:tcPr>
          <w:p w:rsidR="000D44EB" w:rsidRPr="009C189C" w:rsidRDefault="00EE3A4D" w:rsidP="003304EF">
            <w:pPr>
              <w:jc w:val="center"/>
              <w:rPr>
                <w:rFonts w:ascii="Times New Roman" w:hAnsi="Times New Roman" w:cs="Times New Roman"/>
                <w:b/>
                <w:sz w:val="18"/>
                <w:lang w:val="uz-Cyrl-UZ"/>
              </w:rPr>
            </w:pPr>
            <w:r w:rsidRPr="009C189C">
              <w:rPr>
                <w:rFonts w:ascii="Times New Roman" w:hAnsi="Times New Roman" w:cs="Times New Roman"/>
                <w:b/>
                <w:sz w:val="18"/>
                <w:lang w:val="uz-Cyrl-UZ"/>
              </w:rPr>
              <w:t>Ijro</w:t>
            </w:r>
          </w:p>
        </w:tc>
        <w:tc>
          <w:tcPr>
            <w:tcW w:w="894" w:type="dxa"/>
            <w:shd w:val="clear" w:color="auto" w:fill="BDD6EE" w:themeFill="accent1" w:themeFillTint="66"/>
            <w:vAlign w:val="center"/>
          </w:tcPr>
          <w:p w:rsidR="000D44EB" w:rsidRPr="009C189C" w:rsidRDefault="00EE3A4D" w:rsidP="003304EF">
            <w:pPr>
              <w:jc w:val="center"/>
              <w:rPr>
                <w:rFonts w:ascii="Times New Roman" w:hAnsi="Times New Roman" w:cs="Times New Roman"/>
                <w:b/>
                <w:sz w:val="18"/>
                <w:lang w:val="uz-Cyrl-UZ"/>
              </w:rPr>
            </w:pPr>
            <w:r w:rsidRPr="009C189C">
              <w:rPr>
                <w:rFonts w:ascii="Times New Roman" w:hAnsi="Times New Roman" w:cs="Times New Roman"/>
                <w:b/>
                <w:sz w:val="18"/>
                <w:lang w:val="uz-Cyrl-UZ"/>
              </w:rPr>
              <w:t>Farqi</w:t>
            </w:r>
          </w:p>
        </w:tc>
        <w:tc>
          <w:tcPr>
            <w:tcW w:w="949" w:type="dxa"/>
            <w:shd w:val="clear" w:color="auto" w:fill="BDD6EE" w:themeFill="accent1" w:themeFillTint="66"/>
            <w:vAlign w:val="center"/>
          </w:tcPr>
          <w:p w:rsidR="000D44EB" w:rsidRPr="009C189C" w:rsidRDefault="000D44EB" w:rsidP="003304EF">
            <w:pPr>
              <w:jc w:val="center"/>
              <w:rPr>
                <w:rFonts w:ascii="Times New Roman" w:hAnsi="Times New Roman" w:cs="Times New Roman"/>
                <w:b/>
                <w:sz w:val="18"/>
                <w:lang w:val="uz-Cyrl-UZ"/>
              </w:rPr>
            </w:pPr>
            <w:r w:rsidRPr="009C189C">
              <w:rPr>
                <w:rFonts w:ascii="Times New Roman" w:hAnsi="Times New Roman" w:cs="Times New Roman"/>
                <w:b/>
                <w:sz w:val="18"/>
                <w:lang w:val="uz-Cyrl-UZ"/>
              </w:rPr>
              <w:t>Foizda (%)</w:t>
            </w:r>
          </w:p>
        </w:tc>
        <w:tc>
          <w:tcPr>
            <w:tcW w:w="6095" w:type="dxa"/>
            <w:vMerge/>
          </w:tcPr>
          <w:p w:rsidR="000D44EB" w:rsidRPr="009C189C" w:rsidRDefault="000D44EB" w:rsidP="003304EF">
            <w:pPr>
              <w:jc w:val="center"/>
              <w:rPr>
                <w:rFonts w:ascii="Times New Roman" w:hAnsi="Times New Roman" w:cs="Times New Roman"/>
                <w:b/>
                <w:sz w:val="18"/>
                <w:lang w:val="uz-Cyrl-UZ"/>
              </w:rPr>
            </w:pPr>
          </w:p>
        </w:tc>
      </w:tr>
      <w:tr w:rsidR="00052813" w:rsidRPr="009C189C" w:rsidTr="00F44E08">
        <w:trPr>
          <w:trHeight w:val="277"/>
        </w:trPr>
        <w:tc>
          <w:tcPr>
            <w:tcW w:w="3964" w:type="dxa"/>
            <w:gridSpan w:val="2"/>
            <w:vAlign w:val="center"/>
          </w:tcPr>
          <w:p w:rsidR="00052813" w:rsidRPr="009C189C" w:rsidRDefault="00052813" w:rsidP="00052813">
            <w:pPr>
              <w:ind w:firstLine="743"/>
              <w:jc w:val="center"/>
              <w:rPr>
                <w:rFonts w:ascii="Times New Roman" w:hAnsi="Times New Roman" w:cs="Times New Roman"/>
                <w:sz w:val="18"/>
                <w:lang w:val="en-US"/>
              </w:rPr>
            </w:pPr>
            <w:r w:rsidRPr="009C189C">
              <w:rPr>
                <w:rFonts w:ascii="Times New Roman" w:hAnsi="Times New Roman" w:cs="Times New Roman"/>
                <w:b/>
                <w:sz w:val="18"/>
                <w:lang w:val="uz-Cyrl-UZ"/>
              </w:rPr>
              <w:t>Raqobat qo‘mitasi</w:t>
            </w:r>
            <w:r w:rsidRPr="009C189C">
              <w:rPr>
                <w:rFonts w:ascii="Times New Roman" w:hAnsi="Times New Roman" w:cs="Times New Roman"/>
                <w:b/>
                <w:sz w:val="18"/>
                <w:lang w:val="en-US"/>
              </w:rPr>
              <w:t xml:space="preserve"> </w:t>
            </w:r>
            <w:proofErr w:type="spellStart"/>
            <w:r w:rsidRPr="009C189C">
              <w:rPr>
                <w:rFonts w:ascii="Times New Roman" w:hAnsi="Times New Roman" w:cs="Times New Roman"/>
                <w:b/>
                <w:sz w:val="18"/>
                <w:lang w:val="en-US"/>
              </w:rPr>
              <w:t>markaziy</w:t>
            </w:r>
            <w:proofErr w:type="spellEnd"/>
            <w:r w:rsidRPr="009C189C">
              <w:rPr>
                <w:rFonts w:ascii="Times New Roman" w:hAnsi="Times New Roman" w:cs="Times New Roman"/>
                <w:b/>
                <w:sz w:val="18"/>
                <w:lang w:val="en-US"/>
              </w:rPr>
              <w:t xml:space="preserve"> </w:t>
            </w:r>
            <w:proofErr w:type="spellStart"/>
            <w:r w:rsidRPr="009C189C">
              <w:rPr>
                <w:rFonts w:ascii="Times New Roman" w:hAnsi="Times New Roman" w:cs="Times New Roman"/>
                <w:b/>
                <w:sz w:val="18"/>
                <w:lang w:val="en-US"/>
              </w:rPr>
              <w:t>apparati</w:t>
            </w:r>
            <w:proofErr w:type="spellEnd"/>
          </w:p>
        </w:tc>
        <w:tc>
          <w:tcPr>
            <w:tcW w:w="993" w:type="dxa"/>
            <w:vAlign w:val="center"/>
          </w:tcPr>
          <w:p w:rsidR="00052813" w:rsidRPr="00052813" w:rsidRDefault="00052813" w:rsidP="00052813">
            <w:pPr>
              <w:pStyle w:val="a4"/>
              <w:spacing w:before="0" w:beforeAutospacing="0" w:after="0" w:afterAutospacing="0"/>
              <w:jc w:val="center"/>
              <w:rPr>
                <w:sz w:val="18"/>
                <w:szCs w:val="22"/>
                <w:lang w:val="uz-Cyrl-UZ"/>
              </w:rPr>
            </w:pPr>
            <w:r w:rsidRPr="00052813">
              <w:rPr>
                <w:sz w:val="18"/>
                <w:szCs w:val="22"/>
                <w:lang w:val="uz-Cyrl-UZ"/>
              </w:rPr>
              <w:t>mlrd so‘m</w:t>
            </w:r>
          </w:p>
        </w:tc>
        <w:tc>
          <w:tcPr>
            <w:tcW w:w="1322" w:type="dxa"/>
            <w:vAlign w:val="center"/>
          </w:tcPr>
          <w:p w:rsidR="00052813" w:rsidRPr="00052813" w:rsidRDefault="00052813" w:rsidP="00052813">
            <w:pPr>
              <w:pStyle w:val="a4"/>
              <w:spacing w:before="0" w:beforeAutospacing="0" w:after="0" w:afterAutospacing="0"/>
              <w:jc w:val="center"/>
              <w:rPr>
                <w:sz w:val="18"/>
                <w:szCs w:val="22"/>
                <w:lang w:val="uz-Cyrl-UZ"/>
              </w:rPr>
            </w:pPr>
            <w:r w:rsidRPr="00052813">
              <w:rPr>
                <w:sz w:val="18"/>
                <w:szCs w:val="22"/>
                <w:lang w:val="uz-Cyrl-UZ"/>
              </w:rPr>
              <w:t>11,6</w:t>
            </w:r>
          </w:p>
        </w:tc>
        <w:tc>
          <w:tcPr>
            <w:tcW w:w="946" w:type="dxa"/>
          </w:tcPr>
          <w:p w:rsidR="00052813" w:rsidRPr="00052813" w:rsidRDefault="00052813" w:rsidP="00052813">
            <w:pPr>
              <w:pStyle w:val="a4"/>
              <w:spacing w:before="0" w:beforeAutospacing="0" w:after="0" w:afterAutospacing="0"/>
              <w:jc w:val="center"/>
              <w:rPr>
                <w:sz w:val="18"/>
                <w:szCs w:val="22"/>
                <w:lang w:val="uz-Cyrl-UZ"/>
              </w:rPr>
            </w:pPr>
            <w:r w:rsidRPr="00052813">
              <w:rPr>
                <w:sz w:val="18"/>
                <w:szCs w:val="22"/>
                <w:lang w:val="uz-Cyrl-UZ"/>
              </w:rPr>
              <w:t>2,1</w:t>
            </w:r>
          </w:p>
        </w:tc>
        <w:tc>
          <w:tcPr>
            <w:tcW w:w="894" w:type="dxa"/>
          </w:tcPr>
          <w:p w:rsidR="00052813" w:rsidRPr="00052813" w:rsidRDefault="00052813" w:rsidP="00052813">
            <w:pPr>
              <w:pStyle w:val="a4"/>
              <w:spacing w:before="0" w:beforeAutospacing="0" w:after="0" w:afterAutospacing="0"/>
              <w:jc w:val="center"/>
              <w:rPr>
                <w:sz w:val="18"/>
                <w:szCs w:val="22"/>
                <w:lang w:val="uz-Cyrl-UZ"/>
              </w:rPr>
            </w:pPr>
            <w:r w:rsidRPr="00052813">
              <w:rPr>
                <w:sz w:val="18"/>
                <w:szCs w:val="22"/>
                <w:lang w:val="uz-Cyrl-UZ"/>
              </w:rPr>
              <w:t>-9,5</w:t>
            </w:r>
          </w:p>
        </w:tc>
        <w:tc>
          <w:tcPr>
            <w:tcW w:w="949" w:type="dxa"/>
          </w:tcPr>
          <w:p w:rsidR="00052813" w:rsidRPr="00052813" w:rsidRDefault="00052813" w:rsidP="00052813">
            <w:pPr>
              <w:pStyle w:val="a4"/>
              <w:spacing w:before="0" w:beforeAutospacing="0" w:after="0" w:afterAutospacing="0"/>
              <w:jc w:val="center"/>
              <w:rPr>
                <w:sz w:val="18"/>
                <w:szCs w:val="22"/>
                <w:lang w:val="uz-Cyrl-UZ"/>
              </w:rPr>
            </w:pPr>
            <w:r w:rsidRPr="00052813">
              <w:rPr>
                <w:sz w:val="18"/>
                <w:szCs w:val="22"/>
                <w:lang w:val="uz-Cyrl-UZ"/>
              </w:rPr>
              <w:t>18%</w:t>
            </w:r>
          </w:p>
        </w:tc>
        <w:tc>
          <w:tcPr>
            <w:tcW w:w="6095" w:type="dxa"/>
          </w:tcPr>
          <w:p w:rsidR="00052813" w:rsidRPr="00052813" w:rsidRDefault="00052813" w:rsidP="00052813">
            <w:pPr>
              <w:pStyle w:val="a4"/>
              <w:spacing w:before="0" w:beforeAutospacing="0" w:after="0" w:afterAutospacing="0"/>
              <w:jc w:val="center"/>
              <w:rPr>
                <w:sz w:val="18"/>
                <w:szCs w:val="22"/>
                <w:lang w:val="uz-Cyrl-UZ"/>
              </w:rPr>
            </w:pPr>
          </w:p>
        </w:tc>
      </w:tr>
      <w:tr w:rsidR="005157EF" w:rsidRPr="009C189C" w:rsidTr="009C189C">
        <w:trPr>
          <w:trHeight w:val="550"/>
        </w:trPr>
        <w:tc>
          <w:tcPr>
            <w:tcW w:w="15163" w:type="dxa"/>
            <w:gridSpan w:val="8"/>
            <w:shd w:val="clear" w:color="auto" w:fill="BDD6EE" w:themeFill="accent1" w:themeFillTint="66"/>
            <w:vAlign w:val="center"/>
          </w:tcPr>
          <w:p w:rsidR="005157EF" w:rsidRPr="009C189C" w:rsidRDefault="005157EF" w:rsidP="005157EF">
            <w:pPr>
              <w:ind w:left="2302" w:hanging="1422"/>
              <w:jc w:val="both"/>
              <w:rPr>
                <w:rFonts w:ascii="Times New Roman" w:hAnsi="Times New Roman" w:cs="Times New Roman"/>
                <w:b/>
                <w:sz w:val="18"/>
                <w:u w:val="single"/>
                <w:lang w:val="uz-Cyrl-UZ"/>
              </w:rPr>
            </w:pPr>
            <w:r w:rsidRPr="009C189C">
              <w:rPr>
                <w:rFonts w:ascii="Times New Roman" w:hAnsi="Times New Roman" w:cs="Times New Roman"/>
                <w:b/>
                <w:sz w:val="18"/>
                <w:u w:val="single"/>
                <w:lang w:val="uz-Cyrl-UZ"/>
              </w:rPr>
              <w:t>Strategik maqsad:</w:t>
            </w:r>
            <w:r w:rsidRPr="009C189C">
              <w:rPr>
                <w:rFonts w:ascii="Times New Roman" w:hAnsi="Times New Roman" w:cs="Times New Roman"/>
                <w:sz w:val="18"/>
                <w:lang w:val="uz-Cyrl-UZ"/>
              </w:rPr>
              <w:t xml:space="preserve"> </w:t>
            </w:r>
            <w:r w:rsidR="003C2587" w:rsidRPr="003C2587">
              <w:rPr>
                <w:rFonts w:ascii="Times New Roman" w:hAnsi="Times New Roman" w:cs="Times New Roman"/>
                <w:sz w:val="18"/>
                <w:lang w:val="uz-Cyrl-UZ"/>
              </w:rPr>
              <w:t>Tadbirkorlar va iste’molchilarga tovar va moliya bozorlariga kirish uchun teng sharoitlarni ta’minlash va raqobat cheklanishining oldini olish</w:t>
            </w:r>
          </w:p>
        </w:tc>
      </w:tr>
      <w:tr w:rsidR="009C189C" w:rsidRPr="009C189C" w:rsidTr="009C189C">
        <w:trPr>
          <w:trHeight w:val="290"/>
        </w:trPr>
        <w:tc>
          <w:tcPr>
            <w:tcW w:w="641" w:type="dxa"/>
            <w:shd w:val="clear" w:color="auto" w:fill="DEEAF6" w:themeFill="accent1" w:themeFillTint="33"/>
            <w:vAlign w:val="center"/>
          </w:tcPr>
          <w:p w:rsidR="009C189C" w:rsidRPr="009C189C" w:rsidRDefault="009C189C" w:rsidP="005C4BC0">
            <w:pPr>
              <w:jc w:val="center"/>
              <w:rPr>
                <w:rFonts w:ascii="Times New Roman" w:hAnsi="Times New Roman" w:cs="Times New Roman"/>
                <w:sz w:val="18"/>
                <w:lang w:val="uz-Cyrl-UZ"/>
              </w:rPr>
            </w:pPr>
          </w:p>
        </w:tc>
        <w:tc>
          <w:tcPr>
            <w:tcW w:w="14522" w:type="dxa"/>
            <w:gridSpan w:val="7"/>
            <w:tcBorders>
              <w:top w:val="nil"/>
              <w:left w:val="nil"/>
              <w:bottom w:val="single" w:sz="8" w:space="0" w:color="auto"/>
            </w:tcBorders>
            <w:shd w:val="clear" w:color="auto" w:fill="DEEAF6" w:themeFill="accent1" w:themeFillTint="33"/>
            <w:vAlign w:val="center"/>
          </w:tcPr>
          <w:p w:rsidR="009C189C" w:rsidRPr="009C189C" w:rsidRDefault="009C189C" w:rsidP="00F7303C">
            <w:pPr>
              <w:ind w:firstLine="102"/>
              <w:rPr>
                <w:rFonts w:ascii="Times New Roman" w:hAnsi="Times New Roman" w:cs="Times New Roman"/>
                <w:sz w:val="18"/>
                <w:lang w:val="uz-Cyrl-UZ"/>
              </w:rPr>
            </w:pPr>
            <w:proofErr w:type="spellStart"/>
            <w:r w:rsidRPr="009C189C">
              <w:rPr>
                <w:rFonts w:ascii="Times New Roman" w:hAnsi="Times New Roman" w:cs="Times New Roman"/>
                <w:b/>
                <w:bCs/>
                <w:i/>
                <w:iCs/>
                <w:sz w:val="18"/>
                <w:u w:val="single"/>
              </w:rPr>
              <w:t>Yakuniy</w:t>
            </w:r>
            <w:proofErr w:type="spellEnd"/>
            <w:r w:rsidRPr="009C189C">
              <w:rPr>
                <w:rFonts w:ascii="Times New Roman" w:hAnsi="Times New Roman" w:cs="Times New Roman"/>
                <w:b/>
                <w:bCs/>
                <w:i/>
                <w:iCs/>
                <w:sz w:val="18"/>
                <w:u w:val="single"/>
              </w:rPr>
              <w:t xml:space="preserve"> </w:t>
            </w:r>
            <w:proofErr w:type="spellStart"/>
            <w:r w:rsidRPr="009C189C">
              <w:rPr>
                <w:rFonts w:ascii="Times New Roman" w:hAnsi="Times New Roman" w:cs="Times New Roman"/>
                <w:b/>
                <w:bCs/>
                <w:i/>
                <w:iCs/>
                <w:sz w:val="18"/>
                <w:u w:val="single"/>
              </w:rPr>
              <w:t>natija</w:t>
            </w:r>
            <w:proofErr w:type="spellEnd"/>
            <w:r w:rsidRPr="009C189C">
              <w:rPr>
                <w:rFonts w:ascii="Times New Roman" w:hAnsi="Times New Roman" w:cs="Times New Roman"/>
                <w:b/>
                <w:bCs/>
                <w:i/>
                <w:iCs/>
                <w:sz w:val="18"/>
                <w:u w:val="single"/>
              </w:rPr>
              <w:t xml:space="preserve"> </w:t>
            </w:r>
            <w:proofErr w:type="spellStart"/>
            <w:r w:rsidRPr="009C189C">
              <w:rPr>
                <w:rFonts w:ascii="Times New Roman" w:hAnsi="Times New Roman" w:cs="Times New Roman"/>
                <w:b/>
                <w:bCs/>
                <w:i/>
                <w:iCs/>
                <w:sz w:val="18"/>
                <w:u w:val="single"/>
              </w:rPr>
              <w:t>ko‘rsatkichi</w:t>
            </w:r>
            <w:proofErr w:type="spellEnd"/>
          </w:p>
        </w:tc>
      </w:tr>
      <w:tr w:rsidR="005157EF" w:rsidRPr="004E42DD" w:rsidTr="005157EF">
        <w:trPr>
          <w:trHeight w:val="532"/>
        </w:trPr>
        <w:tc>
          <w:tcPr>
            <w:tcW w:w="641" w:type="dxa"/>
            <w:vAlign w:val="center"/>
          </w:tcPr>
          <w:p w:rsidR="005157EF" w:rsidRPr="009C189C" w:rsidRDefault="005157EF" w:rsidP="005157EF">
            <w:pPr>
              <w:jc w:val="center"/>
              <w:rPr>
                <w:rFonts w:ascii="Times New Roman" w:hAnsi="Times New Roman" w:cs="Times New Roman"/>
                <w:sz w:val="18"/>
                <w:lang w:val="uz-Cyrl-UZ"/>
              </w:rPr>
            </w:pPr>
            <w:r w:rsidRPr="009C189C">
              <w:rPr>
                <w:rFonts w:ascii="Times New Roman" w:hAnsi="Times New Roman" w:cs="Times New Roman"/>
                <w:sz w:val="18"/>
                <w:lang w:val="uz-Cyrl-UZ"/>
              </w:rPr>
              <w:t>1.</w:t>
            </w:r>
          </w:p>
        </w:tc>
        <w:tc>
          <w:tcPr>
            <w:tcW w:w="3323" w:type="dxa"/>
            <w:tcBorders>
              <w:top w:val="nil"/>
              <w:left w:val="single" w:sz="8" w:space="0" w:color="auto"/>
              <w:bottom w:val="single" w:sz="8" w:space="0" w:color="auto"/>
              <w:right w:val="single" w:sz="8" w:space="0" w:color="auto"/>
            </w:tcBorders>
            <w:shd w:val="clear" w:color="auto" w:fill="FFFFFF"/>
            <w:vAlign w:val="center"/>
          </w:tcPr>
          <w:p w:rsidR="005157EF" w:rsidRPr="003C2587" w:rsidRDefault="003C2587" w:rsidP="00F7303C">
            <w:pPr>
              <w:pStyle w:val="a4"/>
              <w:spacing w:before="0" w:beforeAutospacing="0" w:after="0" w:afterAutospacing="0"/>
              <w:ind w:firstLine="102"/>
              <w:jc w:val="both"/>
              <w:rPr>
                <w:sz w:val="18"/>
                <w:szCs w:val="22"/>
                <w:lang w:val="uz-Cyrl-UZ"/>
              </w:rPr>
            </w:pPr>
            <w:r w:rsidRPr="003C2587">
              <w:rPr>
                <w:sz w:val="18"/>
                <w:szCs w:val="22"/>
                <w:lang w:val="uz-Cyrl-UZ"/>
              </w:rPr>
              <w:t>Davlat boshqaruvi organlari va xo‘jalik yurituvchi subyektlarda monopoliyaga qarshi komplaens tizimi joriy qilinishi</w:t>
            </w:r>
          </w:p>
        </w:tc>
        <w:tc>
          <w:tcPr>
            <w:tcW w:w="993" w:type="dxa"/>
            <w:tcBorders>
              <w:top w:val="nil"/>
              <w:left w:val="nil"/>
              <w:bottom w:val="single" w:sz="8" w:space="0" w:color="auto"/>
              <w:right w:val="single" w:sz="8" w:space="0" w:color="auto"/>
            </w:tcBorders>
            <w:shd w:val="clear" w:color="auto" w:fill="FFFFFF"/>
            <w:vAlign w:val="center"/>
          </w:tcPr>
          <w:p w:rsidR="005157EF" w:rsidRPr="009C189C" w:rsidRDefault="004E42DD" w:rsidP="005157EF">
            <w:pPr>
              <w:pStyle w:val="a4"/>
              <w:spacing w:before="0" w:beforeAutospacing="0" w:after="0" w:afterAutospacing="0"/>
              <w:jc w:val="center"/>
              <w:rPr>
                <w:sz w:val="18"/>
                <w:szCs w:val="22"/>
              </w:rPr>
            </w:pPr>
            <w:proofErr w:type="spellStart"/>
            <w:r w:rsidRPr="009C189C">
              <w:rPr>
                <w:sz w:val="18"/>
                <w:szCs w:val="22"/>
              </w:rPr>
              <w:t>dona</w:t>
            </w:r>
            <w:proofErr w:type="spellEnd"/>
          </w:p>
        </w:tc>
        <w:tc>
          <w:tcPr>
            <w:tcW w:w="1322" w:type="dxa"/>
            <w:tcBorders>
              <w:top w:val="nil"/>
              <w:left w:val="nil"/>
              <w:bottom w:val="single" w:sz="8" w:space="0" w:color="auto"/>
              <w:right w:val="single" w:sz="8" w:space="0" w:color="auto"/>
            </w:tcBorders>
            <w:shd w:val="clear" w:color="auto" w:fill="FFFFFF"/>
            <w:vAlign w:val="center"/>
          </w:tcPr>
          <w:p w:rsidR="005157EF" w:rsidRPr="009C189C" w:rsidRDefault="005157EF" w:rsidP="004E42DD">
            <w:pPr>
              <w:pStyle w:val="a4"/>
              <w:spacing w:before="0" w:beforeAutospacing="0" w:after="0" w:afterAutospacing="0"/>
              <w:jc w:val="center"/>
              <w:rPr>
                <w:sz w:val="18"/>
                <w:szCs w:val="22"/>
              </w:rPr>
            </w:pPr>
            <w:r w:rsidRPr="009C189C">
              <w:rPr>
                <w:sz w:val="18"/>
                <w:szCs w:val="22"/>
              </w:rPr>
              <w:t>1</w:t>
            </w:r>
            <w:r w:rsidR="004E42DD">
              <w:rPr>
                <w:sz w:val="18"/>
                <w:szCs w:val="22"/>
                <w:lang w:val="en-US"/>
              </w:rPr>
              <w:t>80</w:t>
            </w:r>
            <w:r w:rsidRPr="009C189C">
              <w:rPr>
                <w:sz w:val="18"/>
                <w:szCs w:val="22"/>
              </w:rPr>
              <w:t>,0</w:t>
            </w:r>
          </w:p>
        </w:tc>
        <w:tc>
          <w:tcPr>
            <w:tcW w:w="946" w:type="dxa"/>
            <w:tcBorders>
              <w:top w:val="nil"/>
              <w:left w:val="nil"/>
              <w:bottom w:val="single" w:sz="8" w:space="0" w:color="auto"/>
              <w:right w:val="single" w:sz="8" w:space="0" w:color="auto"/>
            </w:tcBorders>
            <w:shd w:val="clear" w:color="auto" w:fill="FFFFFF"/>
            <w:vAlign w:val="center"/>
          </w:tcPr>
          <w:p w:rsidR="0092619F" w:rsidRPr="009C189C" w:rsidRDefault="000C07A2" w:rsidP="00002B4A">
            <w:pPr>
              <w:pStyle w:val="a4"/>
              <w:spacing w:before="0" w:beforeAutospacing="0" w:after="0" w:afterAutospacing="0"/>
              <w:jc w:val="center"/>
              <w:rPr>
                <w:sz w:val="18"/>
                <w:szCs w:val="22"/>
                <w:lang w:val="uz-Cyrl-UZ"/>
              </w:rPr>
            </w:pPr>
            <w:r>
              <w:rPr>
                <w:sz w:val="18"/>
                <w:szCs w:val="22"/>
                <w:lang w:val="uz-Cyrl-UZ"/>
              </w:rPr>
              <w:t>211,0</w:t>
            </w:r>
          </w:p>
        </w:tc>
        <w:tc>
          <w:tcPr>
            <w:tcW w:w="894" w:type="dxa"/>
            <w:tcBorders>
              <w:top w:val="nil"/>
              <w:left w:val="nil"/>
              <w:bottom w:val="single" w:sz="8" w:space="0" w:color="auto"/>
              <w:right w:val="single" w:sz="8" w:space="0" w:color="auto"/>
            </w:tcBorders>
            <w:shd w:val="clear" w:color="auto" w:fill="FFFFFF"/>
            <w:vAlign w:val="center"/>
          </w:tcPr>
          <w:p w:rsidR="005157EF" w:rsidRPr="009C189C" w:rsidRDefault="000C07A2" w:rsidP="00002B4A">
            <w:pPr>
              <w:pStyle w:val="a4"/>
              <w:spacing w:before="0" w:beforeAutospacing="0" w:after="0" w:afterAutospacing="0"/>
              <w:jc w:val="center"/>
              <w:rPr>
                <w:sz w:val="18"/>
                <w:szCs w:val="22"/>
                <w:lang w:val="uz-Cyrl-UZ"/>
              </w:rPr>
            </w:pPr>
            <w:r>
              <w:rPr>
                <w:sz w:val="18"/>
                <w:szCs w:val="22"/>
                <w:lang w:val="uz-Cyrl-UZ"/>
              </w:rPr>
              <w:t>31,0</w:t>
            </w:r>
          </w:p>
        </w:tc>
        <w:tc>
          <w:tcPr>
            <w:tcW w:w="949" w:type="dxa"/>
            <w:tcBorders>
              <w:top w:val="nil"/>
              <w:left w:val="nil"/>
              <w:bottom w:val="single" w:sz="8" w:space="0" w:color="auto"/>
              <w:right w:val="single" w:sz="8" w:space="0" w:color="auto"/>
            </w:tcBorders>
            <w:shd w:val="clear" w:color="auto" w:fill="FFFFFF"/>
            <w:vAlign w:val="center"/>
          </w:tcPr>
          <w:p w:rsidR="005157EF" w:rsidRPr="009C189C" w:rsidRDefault="000C07A2" w:rsidP="00002B4A">
            <w:pPr>
              <w:pStyle w:val="a4"/>
              <w:spacing w:before="0" w:beforeAutospacing="0" w:after="0" w:afterAutospacing="0"/>
              <w:jc w:val="center"/>
              <w:rPr>
                <w:sz w:val="18"/>
                <w:szCs w:val="22"/>
                <w:lang w:val="uz-Cyrl-UZ"/>
              </w:rPr>
            </w:pPr>
            <w:r>
              <w:rPr>
                <w:sz w:val="18"/>
                <w:szCs w:val="22"/>
                <w:lang w:val="uz-Cyrl-UZ"/>
              </w:rPr>
              <w:t>117%</w:t>
            </w:r>
          </w:p>
        </w:tc>
        <w:tc>
          <w:tcPr>
            <w:tcW w:w="6095" w:type="dxa"/>
            <w:tcBorders>
              <w:top w:val="nil"/>
              <w:left w:val="nil"/>
              <w:bottom w:val="single" w:sz="8" w:space="0" w:color="auto"/>
              <w:right w:val="single" w:sz="8" w:space="0" w:color="auto"/>
            </w:tcBorders>
            <w:shd w:val="clear" w:color="auto" w:fill="FFFFFF"/>
          </w:tcPr>
          <w:p w:rsidR="005157EF" w:rsidRPr="009C189C" w:rsidRDefault="000C07A2" w:rsidP="00246E7C">
            <w:pPr>
              <w:pStyle w:val="a4"/>
              <w:spacing w:before="0" w:beforeAutospacing="0" w:after="0" w:afterAutospacing="0"/>
              <w:ind w:firstLine="322"/>
              <w:jc w:val="both"/>
              <w:rPr>
                <w:sz w:val="18"/>
                <w:szCs w:val="22"/>
                <w:lang w:val="uz-Cyrl-UZ"/>
              </w:rPr>
            </w:pPr>
            <w:r w:rsidRPr="000C07A2">
              <w:rPr>
                <w:sz w:val="18"/>
                <w:szCs w:val="22"/>
                <w:lang w:val="uz-Cyrl-UZ"/>
              </w:rPr>
              <w:t>2024-yilda jami 180 ta (o‘sib borish tartibida) korxona faoliyatida monopoliyaga qarshi komplayens tizimini joriy etish belgilangan bo‘lib, shundan 2024-yilning I-choragi yakunida jami 211 ta respublika ijro etuvchi hokimiyat organlari hamda xo‘jalik yurituvchi subнektlar faoliyatida monopoliyaga qarshi komplayens tizimi to‘liq joriy etildi.</w:t>
            </w:r>
          </w:p>
        </w:tc>
      </w:tr>
      <w:tr w:rsidR="00525C17" w:rsidRPr="00DC01D8" w:rsidTr="00420B61">
        <w:trPr>
          <w:trHeight w:val="1262"/>
        </w:trPr>
        <w:tc>
          <w:tcPr>
            <w:tcW w:w="641" w:type="dxa"/>
            <w:shd w:val="clear" w:color="auto" w:fill="FFFFFF" w:themeFill="background1"/>
            <w:vAlign w:val="center"/>
          </w:tcPr>
          <w:p w:rsidR="00525C17" w:rsidRPr="009C189C" w:rsidRDefault="00525C17" w:rsidP="005157EF">
            <w:pPr>
              <w:jc w:val="center"/>
              <w:rPr>
                <w:rFonts w:ascii="Times New Roman" w:hAnsi="Times New Roman" w:cs="Times New Roman"/>
                <w:sz w:val="18"/>
                <w:lang w:val="uz-Cyrl-UZ"/>
              </w:rPr>
            </w:pPr>
            <w:r w:rsidRPr="009C189C">
              <w:rPr>
                <w:rFonts w:ascii="Times New Roman" w:hAnsi="Times New Roman" w:cs="Times New Roman"/>
                <w:sz w:val="18"/>
                <w:lang w:val="uz-Cyrl-UZ"/>
              </w:rPr>
              <w:t>2.</w:t>
            </w:r>
          </w:p>
        </w:tc>
        <w:tc>
          <w:tcPr>
            <w:tcW w:w="3323" w:type="dxa"/>
            <w:tcBorders>
              <w:top w:val="nil"/>
              <w:left w:val="single" w:sz="8" w:space="0" w:color="auto"/>
              <w:bottom w:val="single" w:sz="8" w:space="0" w:color="auto"/>
              <w:right w:val="single" w:sz="8" w:space="0" w:color="auto"/>
            </w:tcBorders>
            <w:shd w:val="clear" w:color="auto" w:fill="FFFFFF"/>
            <w:vAlign w:val="center"/>
          </w:tcPr>
          <w:p w:rsidR="00525C17" w:rsidRPr="003C2587" w:rsidRDefault="003C2587" w:rsidP="00F7303C">
            <w:pPr>
              <w:pStyle w:val="a4"/>
              <w:spacing w:before="0" w:beforeAutospacing="0" w:after="0" w:afterAutospacing="0"/>
              <w:ind w:firstLine="102"/>
              <w:jc w:val="both"/>
              <w:rPr>
                <w:sz w:val="18"/>
                <w:szCs w:val="22"/>
                <w:lang w:val="en-US"/>
              </w:rPr>
            </w:pPr>
            <w:proofErr w:type="spellStart"/>
            <w:r w:rsidRPr="003C2587">
              <w:rPr>
                <w:sz w:val="18"/>
                <w:szCs w:val="22"/>
                <w:lang w:val="en-US"/>
              </w:rPr>
              <w:t>Raqobat</w:t>
            </w:r>
            <w:proofErr w:type="spellEnd"/>
            <w:r w:rsidRPr="003C2587">
              <w:rPr>
                <w:sz w:val="18"/>
                <w:szCs w:val="22"/>
                <w:lang w:val="en-US"/>
              </w:rPr>
              <w:t xml:space="preserve"> </w:t>
            </w:r>
            <w:proofErr w:type="spellStart"/>
            <w:r w:rsidRPr="003C2587">
              <w:rPr>
                <w:sz w:val="18"/>
                <w:szCs w:val="22"/>
                <w:lang w:val="en-US"/>
              </w:rPr>
              <w:t>holati</w:t>
            </w:r>
            <w:proofErr w:type="spellEnd"/>
            <w:r w:rsidRPr="003C2587">
              <w:rPr>
                <w:sz w:val="18"/>
                <w:szCs w:val="22"/>
                <w:lang w:val="en-US"/>
              </w:rPr>
              <w:t xml:space="preserve"> </w:t>
            </w:r>
            <w:proofErr w:type="spellStart"/>
            <w:r w:rsidRPr="003C2587">
              <w:rPr>
                <w:sz w:val="18"/>
                <w:szCs w:val="22"/>
                <w:lang w:val="en-US"/>
              </w:rPr>
              <w:t>tahlil</w:t>
            </w:r>
            <w:proofErr w:type="spellEnd"/>
            <w:r w:rsidRPr="003C2587">
              <w:rPr>
                <w:sz w:val="18"/>
                <w:szCs w:val="22"/>
                <w:lang w:val="en-US"/>
              </w:rPr>
              <w:t xml:space="preserve"> </w:t>
            </w:r>
            <w:proofErr w:type="spellStart"/>
            <w:r w:rsidRPr="003C2587">
              <w:rPr>
                <w:sz w:val="18"/>
                <w:szCs w:val="22"/>
                <w:lang w:val="en-US"/>
              </w:rPr>
              <w:t>qilinadigan</w:t>
            </w:r>
            <w:proofErr w:type="spellEnd"/>
            <w:r w:rsidRPr="003C2587">
              <w:rPr>
                <w:sz w:val="18"/>
                <w:szCs w:val="22"/>
                <w:lang w:val="en-US"/>
              </w:rPr>
              <w:t xml:space="preserve"> </w:t>
            </w:r>
            <w:proofErr w:type="spellStart"/>
            <w:r w:rsidRPr="003C2587">
              <w:rPr>
                <w:sz w:val="18"/>
                <w:szCs w:val="22"/>
                <w:lang w:val="en-US"/>
              </w:rPr>
              <w:t>tovar</w:t>
            </w:r>
            <w:proofErr w:type="spellEnd"/>
            <w:r w:rsidRPr="003C2587">
              <w:rPr>
                <w:sz w:val="18"/>
                <w:szCs w:val="22"/>
                <w:lang w:val="en-US"/>
              </w:rPr>
              <w:t xml:space="preserve">, </w:t>
            </w:r>
            <w:proofErr w:type="spellStart"/>
            <w:r w:rsidRPr="003C2587">
              <w:rPr>
                <w:sz w:val="18"/>
                <w:szCs w:val="22"/>
                <w:lang w:val="en-US"/>
              </w:rPr>
              <w:t>moliya</w:t>
            </w:r>
            <w:proofErr w:type="spellEnd"/>
            <w:r w:rsidRPr="003C2587">
              <w:rPr>
                <w:sz w:val="18"/>
                <w:szCs w:val="22"/>
                <w:lang w:val="en-US"/>
              </w:rPr>
              <w:t xml:space="preserve"> </w:t>
            </w:r>
            <w:proofErr w:type="spellStart"/>
            <w:r w:rsidRPr="003C2587">
              <w:rPr>
                <w:sz w:val="18"/>
                <w:szCs w:val="22"/>
                <w:lang w:val="en-US"/>
              </w:rPr>
              <w:t>va</w:t>
            </w:r>
            <w:proofErr w:type="spellEnd"/>
            <w:r w:rsidRPr="003C2587">
              <w:rPr>
                <w:sz w:val="18"/>
                <w:szCs w:val="22"/>
                <w:lang w:val="en-US"/>
              </w:rPr>
              <w:t xml:space="preserve"> </w:t>
            </w:r>
            <w:proofErr w:type="spellStart"/>
            <w:r w:rsidRPr="003C2587">
              <w:rPr>
                <w:sz w:val="18"/>
                <w:szCs w:val="22"/>
                <w:lang w:val="en-US"/>
              </w:rPr>
              <w:t>raqamli</w:t>
            </w:r>
            <w:proofErr w:type="spellEnd"/>
            <w:r w:rsidRPr="003C2587">
              <w:rPr>
                <w:sz w:val="18"/>
                <w:szCs w:val="22"/>
                <w:lang w:val="en-US"/>
              </w:rPr>
              <w:t xml:space="preserve"> </w:t>
            </w:r>
            <w:proofErr w:type="spellStart"/>
            <w:r w:rsidRPr="003C2587">
              <w:rPr>
                <w:sz w:val="18"/>
                <w:szCs w:val="22"/>
                <w:lang w:val="en-US"/>
              </w:rPr>
              <w:t>bozorlar</w:t>
            </w:r>
            <w:proofErr w:type="spellEnd"/>
            <w:r w:rsidRPr="003C2587">
              <w:rPr>
                <w:sz w:val="18"/>
                <w:szCs w:val="22"/>
                <w:lang w:val="en-US"/>
              </w:rPr>
              <w:t xml:space="preserve"> </w:t>
            </w:r>
            <w:proofErr w:type="spellStart"/>
            <w:r w:rsidRPr="003C2587">
              <w:rPr>
                <w:sz w:val="18"/>
                <w:szCs w:val="22"/>
                <w:lang w:val="en-US"/>
              </w:rPr>
              <w:t>soni</w:t>
            </w:r>
            <w:proofErr w:type="spellEnd"/>
          </w:p>
        </w:tc>
        <w:tc>
          <w:tcPr>
            <w:tcW w:w="993" w:type="dxa"/>
            <w:tcBorders>
              <w:top w:val="nil"/>
              <w:left w:val="nil"/>
              <w:bottom w:val="single" w:sz="8" w:space="0" w:color="auto"/>
              <w:right w:val="single" w:sz="8" w:space="0" w:color="auto"/>
            </w:tcBorders>
            <w:shd w:val="clear" w:color="auto" w:fill="FFFFFF"/>
            <w:vAlign w:val="center"/>
          </w:tcPr>
          <w:p w:rsidR="00525C17" w:rsidRPr="009C189C" w:rsidRDefault="00525C17" w:rsidP="005157EF">
            <w:pPr>
              <w:pStyle w:val="a4"/>
              <w:spacing w:before="0" w:beforeAutospacing="0" w:after="0" w:afterAutospacing="0"/>
              <w:jc w:val="center"/>
              <w:rPr>
                <w:sz w:val="18"/>
                <w:szCs w:val="22"/>
              </w:rPr>
            </w:pPr>
            <w:proofErr w:type="spellStart"/>
            <w:r w:rsidRPr="009C189C">
              <w:rPr>
                <w:sz w:val="18"/>
                <w:szCs w:val="22"/>
              </w:rPr>
              <w:t>dona</w:t>
            </w:r>
            <w:proofErr w:type="spellEnd"/>
          </w:p>
        </w:tc>
        <w:tc>
          <w:tcPr>
            <w:tcW w:w="1322" w:type="dxa"/>
            <w:tcBorders>
              <w:top w:val="nil"/>
              <w:left w:val="nil"/>
              <w:bottom w:val="single" w:sz="8" w:space="0" w:color="auto"/>
              <w:right w:val="single" w:sz="8" w:space="0" w:color="auto"/>
            </w:tcBorders>
            <w:shd w:val="clear" w:color="auto" w:fill="FFFFFF"/>
            <w:vAlign w:val="center"/>
          </w:tcPr>
          <w:p w:rsidR="00525C17" w:rsidRPr="004E42DD" w:rsidRDefault="004E42DD" w:rsidP="005157EF">
            <w:pPr>
              <w:pStyle w:val="a4"/>
              <w:spacing w:before="0" w:beforeAutospacing="0" w:after="0" w:afterAutospacing="0"/>
              <w:jc w:val="center"/>
              <w:rPr>
                <w:sz w:val="18"/>
                <w:szCs w:val="22"/>
                <w:lang w:val="en-US"/>
              </w:rPr>
            </w:pPr>
            <w:r>
              <w:rPr>
                <w:sz w:val="18"/>
                <w:szCs w:val="22"/>
                <w:lang w:val="en-US"/>
              </w:rPr>
              <w:t>120,0</w:t>
            </w:r>
          </w:p>
        </w:tc>
        <w:tc>
          <w:tcPr>
            <w:tcW w:w="946" w:type="dxa"/>
            <w:tcBorders>
              <w:top w:val="nil"/>
              <w:left w:val="nil"/>
              <w:bottom w:val="single" w:sz="8" w:space="0" w:color="auto"/>
              <w:right w:val="single" w:sz="8" w:space="0" w:color="auto"/>
            </w:tcBorders>
            <w:shd w:val="clear" w:color="auto" w:fill="FFFFFF"/>
            <w:vAlign w:val="center"/>
          </w:tcPr>
          <w:p w:rsidR="00525C17" w:rsidRPr="009C189C" w:rsidRDefault="008B5D46" w:rsidP="005157EF">
            <w:pPr>
              <w:pStyle w:val="a4"/>
              <w:spacing w:before="0" w:beforeAutospacing="0" w:after="0" w:afterAutospacing="0"/>
              <w:jc w:val="center"/>
              <w:rPr>
                <w:sz w:val="18"/>
                <w:szCs w:val="22"/>
                <w:lang w:val="uz-Cyrl-UZ"/>
              </w:rPr>
            </w:pPr>
            <w:r>
              <w:rPr>
                <w:sz w:val="18"/>
                <w:szCs w:val="22"/>
                <w:lang w:val="uz-Cyrl-UZ"/>
              </w:rPr>
              <w:t>47</w:t>
            </w:r>
          </w:p>
        </w:tc>
        <w:tc>
          <w:tcPr>
            <w:tcW w:w="894" w:type="dxa"/>
            <w:tcBorders>
              <w:top w:val="nil"/>
              <w:left w:val="nil"/>
              <w:bottom w:val="single" w:sz="8" w:space="0" w:color="auto"/>
              <w:right w:val="single" w:sz="8" w:space="0" w:color="auto"/>
            </w:tcBorders>
            <w:shd w:val="clear" w:color="auto" w:fill="FFFFFF"/>
            <w:vAlign w:val="center"/>
          </w:tcPr>
          <w:p w:rsidR="00525C17" w:rsidRPr="009C189C" w:rsidRDefault="008B5D46" w:rsidP="0020688F">
            <w:pPr>
              <w:pStyle w:val="a4"/>
              <w:spacing w:before="0" w:beforeAutospacing="0" w:after="0" w:afterAutospacing="0"/>
              <w:jc w:val="center"/>
              <w:rPr>
                <w:sz w:val="18"/>
                <w:szCs w:val="22"/>
                <w:lang w:val="uz-Cyrl-UZ"/>
              </w:rPr>
            </w:pPr>
            <w:r>
              <w:rPr>
                <w:sz w:val="18"/>
                <w:szCs w:val="22"/>
                <w:lang w:val="uz-Cyrl-UZ"/>
              </w:rPr>
              <w:t>-73</w:t>
            </w:r>
          </w:p>
        </w:tc>
        <w:tc>
          <w:tcPr>
            <w:tcW w:w="949" w:type="dxa"/>
            <w:tcBorders>
              <w:top w:val="nil"/>
              <w:left w:val="nil"/>
              <w:bottom w:val="single" w:sz="8" w:space="0" w:color="auto"/>
              <w:right w:val="single" w:sz="8" w:space="0" w:color="auto"/>
            </w:tcBorders>
            <w:shd w:val="clear" w:color="auto" w:fill="FFFFFF"/>
            <w:vAlign w:val="center"/>
          </w:tcPr>
          <w:p w:rsidR="00525C17" w:rsidRPr="009C189C" w:rsidRDefault="008B5D46" w:rsidP="0020688F">
            <w:pPr>
              <w:pStyle w:val="a4"/>
              <w:spacing w:before="0" w:beforeAutospacing="0" w:after="0" w:afterAutospacing="0"/>
              <w:jc w:val="center"/>
              <w:rPr>
                <w:sz w:val="18"/>
                <w:szCs w:val="22"/>
                <w:lang w:val="uz-Cyrl-UZ"/>
              </w:rPr>
            </w:pPr>
            <w:r>
              <w:rPr>
                <w:sz w:val="18"/>
                <w:szCs w:val="22"/>
                <w:lang w:val="uz-Cyrl-UZ"/>
              </w:rPr>
              <w:t>39%</w:t>
            </w:r>
          </w:p>
        </w:tc>
        <w:tc>
          <w:tcPr>
            <w:tcW w:w="6095" w:type="dxa"/>
            <w:tcBorders>
              <w:top w:val="nil"/>
              <w:left w:val="nil"/>
              <w:right w:val="single" w:sz="8" w:space="0" w:color="auto"/>
            </w:tcBorders>
            <w:shd w:val="clear" w:color="auto" w:fill="FFFFFF"/>
            <w:vAlign w:val="center"/>
          </w:tcPr>
          <w:p w:rsidR="008B5D46" w:rsidRPr="008B5D46" w:rsidRDefault="008B5D46" w:rsidP="008B5D46">
            <w:pPr>
              <w:pStyle w:val="a4"/>
              <w:spacing w:before="0" w:beforeAutospacing="0" w:after="0" w:afterAutospacing="0"/>
              <w:ind w:firstLine="322"/>
              <w:jc w:val="both"/>
              <w:rPr>
                <w:sz w:val="18"/>
                <w:szCs w:val="22"/>
                <w:lang w:val="uz-Cyrl-UZ"/>
              </w:rPr>
            </w:pPr>
            <w:r w:rsidRPr="008B5D46">
              <w:rPr>
                <w:sz w:val="18"/>
                <w:szCs w:val="22"/>
                <w:lang w:val="uz-Cyrl-UZ"/>
              </w:rPr>
              <w:t>Qo‘mita tomonidan 2024 yil 1-choragi davomida 47 ta tovar va xizmatlar bozorlari tahlil qilindi, shu jumladan.</w:t>
            </w:r>
          </w:p>
          <w:p w:rsidR="008B5D46" w:rsidRPr="008B5D46" w:rsidRDefault="008B5D46" w:rsidP="008B5D46">
            <w:pPr>
              <w:pStyle w:val="a4"/>
              <w:spacing w:before="0" w:beforeAutospacing="0" w:after="0" w:afterAutospacing="0"/>
              <w:ind w:firstLine="322"/>
              <w:jc w:val="both"/>
              <w:rPr>
                <w:sz w:val="18"/>
                <w:szCs w:val="22"/>
                <w:lang w:val="uz-Cyrl-UZ"/>
              </w:rPr>
            </w:pPr>
            <w:r w:rsidRPr="008B5D46">
              <w:rPr>
                <w:sz w:val="18"/>
                <w:szCs w:val="22"/>
                <w:lang w:val="uz-Cyrl-UZ"/>
              </w:rPr>
              <w:t>1. 3 ta bozorlar, jumladan havo transportida tashish xizmatlari, gazni yer ostida saqlash xizmatlari va don mahsulotlari bozorlarida to‘liq tahlil qilindi. Tahlil natijalarida 4 ta korxona 3 ta tovar va xizmatlar bo‘yicha ustun mavqeini yo‘qotganligi e’tirof etildi.</w:t>
            </w:r>
          </w:p>
          <w:p w:rsidR="008B5D46" w:rsidRPr="008B5D46" w:rsidRDefault="008B5D46" w:rsidP="008B5D46">
            <w:pPr>
              <w:pStyle w:val="a4"/>
              <w:spacing w:before="0" w:beforeAutospacing="0" w:after="0" w:afterAutospacing="0"/>
              <w:ind w:firstLine="322"/>
              <w:jc w:val="both"/>
              <w:rPr>
                <w:sz w:val="18"/>
                <w:szCs w:val="22"/>
                <w:lang w:val="uz-Cyrl-UZ"/>
              </w:rPr>
            </w:pPr>
            <w:r w:rsidRPr="008B5D46">
              <w:rPr>
                <w:sz w:val="18"/>
                <w:szCs w:val="22"/>
                <w:lang w:val="uz-Cyrl-UZ"/>
              </w:rPr>
              <w:t>2. 15 ta tovar va ish xizmatlarning bozorlarda muqobillari mavjud yoki mavjud emasligi yuzasidan tahlil o‘tkazildi, jumladan, temir yo‘l infratuzulmalarida foydalaniladigan mahsulotlar, xar xil turdagi podshibniklar, avtomobil ehtiyot qisimlari va FIDIC sertifikatini berish xizmatlarini Yagona yetkazib beruvchilar reyestiriga kiritishni ko‘rib chiqish yuzasidan tahlil o‘tkazildi hamda natijalari yuzasidan Iqtisodiyot va moliya vazirligiga xulosalar taqdim etildi.</w:t>
            </w:r>
          </w:p>
          <w:p w:rsidR="008B5D46" w:rsidRPr="008B5D46" w:rsidRDefault="008B5D46" w:rsidP="008B5D46">
            <w:pPr>
              <w:pStyle w:val="a4"/>
              <w:spacing w:before="0" w:beforeAutospacing="0" w:after="0" w:afterAutospacing="0"/>
              <w:ind w:firstLine="322"/>
              <w:jc w:val="both"/>
              <w:rPr>
                <w:sz w:val="18"/>
                <w:szCs w:val="22"/>
                <w:lang w:val="uz-Cyrl-UZ"/>
              </w:rPr>
            </w:pPr>
            <w:r w:rsidRPr="008B5D46">
              <w:rPr>
                <w:sz w:val="18"/>
                <w:szCs w:val="22"/>
                <w:lang w:val="uz-Cyrl-UZ"/>
              </w:rPr>
              <w:t xml:space="preserve">3. O‘zbekiston Respublikasi Vazirlar Mahkamasining 2010 yil 20 dekabrdagi “Sanoat kooperatsiyasi asosida tayyor mahsulotlar, butlovchi buyumlar va materiallar ishlab chiqarishni mahalliylashtirish dasturiga kiritish uchun loyihalarni </w:t>
            </w:r>
            <w:r>
              <w:rPr>
                <w:sz w:val="18"/>
                <w:szCs w:val="22"/>
                <w:lang w:val="uz-Cyrl-UZ"/>
              </w:rPr>
              <w:t>3</w:t>
            </w:r>
            <w:r w:rsidRPr="008B5D46">
              <w:rPr>
                <w:sz w:val="18"/>
                <w:szCs w:val="22"/>
                <w:lang w:val="uz-Cyrl-UZ"/>
              </w:rPr>
              <w:t>‘lganligini aniqlash tartibi to‘g‘risidagi nizomni tasdiqlash haqida”gi 303-sonli qaroriga asosan ichki bozorning mamlakatimizda ishlab chiqarilgan tovarlar bilan to‘yinganligini aniqlash maqsadida 29 ta ekspress tahlillar o‘tkazildi.</w:t>
            </w:r>
          </w:p>
          <w:p w:rsidR="00525C17" w:rsidRPr="009C189C" w:rsidRDefault="008B5D46" w:rsidP="008B5D46">
            <w:pPr>
              <w:pStyle w:val="a4"/>
              <w:spacing w:before="0" w:beforeAutospacing="0" w:after="0" w:afterAutospacing="0"/>
              <w:ind w:firstLine="322"/>
              <w:jc w:val="both"/>
              <w:rPr>
                <w:sz w:val="18"/>
                <w:szCs w:val="22"/>
                <w:lang w:val="uz-Cyrl-UZ"/>
              </w:rPr>
            </w:pPr>
            <w:r w:rsidRPr="008B5D46">
              <w:rPr>
                <w:sz w:val="18"/>
                <w:szCs w:val="22"/>
                <w:lang w:val="uz-Cyrl-UZ"/>
              </w:rPr>
              <w:t>O‘rganish natijalariga ko‘ra, 13 ta tovar bozorlari mahalliy ishlab chiqaruvchilarning mahsulotlari bilan to‘yinganligi va 16 ta tovar bozorining to‘yinganlik darajasi pastligi (to‘yinmagani) ma’lum bo‘ldi.</w:t>
            </w:r>
          </w:p>
        </w:tc>
      </w:tr>
      <w:tr w:rsidR="009C189C" w:rsidRPr="004E42DD" w:rsidTr="009C189C">
        <w:trPr>
          <w:trHeight w:val="502"/>
        </w:trPr>
        <w:tc>
          <w:tcPr>
            <w:tcW w:w="641" w:type="dxa"/>
            <w:shd w:val="clear" w:color="auto" w:fill="DEEAF6" w:themeFill="accent1" w:themeFillTint="33"/>
            <w:vAlign w:val="center"/>
          </w:tcPr>
          <w:p w:rsidR="009C189C" w:rsidRPr="009C189C" w:rsidRDefault="009C189C" w:rsidP="005157EF">
            <w:pPr>
              <w:jc w:val="center"/>
              <w:rPr>
                <w:rFonts w:ascii="Times New Roman" w:hAnsi="Times New Roman" w:cs="Times New Roman"/>
                <w:sz w:val="18"/>
                <w:lang w:val="uz-Cyrl-UZ"/>
              </w:rPr>
            </w:pPr>
          </w:p>
        </w:tc>
        <w:tc>
          <w:tcPr>
            <w:tcW w:w="14522" w:type="dxa"/>
            <w:gridSpan w:val="7"/>
            <w:tcBorders>
              <w:top w:val="nil"/>
              <w:left w:val="nil"/>
              <w:bottom w:val="single" w:sz="8" w:space="0" w:color="auto"/>
            </w:tcBorders>
            <w:shd w:val="clear" w:color="auto" w:fill="DEEAF6" w:themeFill="accent1" w:themeFillTint="33"/>
            <w:vAlign w:val="center"/>
          </w:tcPr>
          <w:p w:rsidR="009C189C" w:rsidRPr="009C189C" w:rsidRDefault="009C189C" w:rsidP="00F7303C">
            <w:pPr>
              <w:ind w:firstLine="102"/>
              <w:rPr>
                <w:rFonts w:ascii="Times New Roman" w:hAnsi="Times New Roman" w:cs="Times New Roman"/>
                <w:sz w:val="18"/>
                <w:lang w:val="uz-Cyrl-UZ"/>
              </w:rPr>
            </w:pPr>
            <w:proofErr w:type="spellStart"/>
            <w:r w:rsidRPr="009C189C">
              <w:rPr>
                <w:rFonts w:ascii="Times New Roman" w:hAnsi="Times New Roman" w:cs="Times New Roman"/>
                <w:b/>
                <w:bCs/>
                <w:i/>
                <w:iCs/>
                <w:sz w:val="18"/>
                <w:u w:val="single"/>
                <w:lang w:val="en-US"/>
              </w:rPr>
              <w:t>Bevosita</w:t>
            </w:r>
            <w:proofErr w:type="spellEnd"/>
            <w:r w:rsidRPr="009C189C">
              <w:rPr>
                <w:rFonts w:ascii="Times New Roman" w:hAnsi="Times New Roman" w:cs="Times New Roman"/>
                <w:b/>
                <w:bCs/>
                <w:i/>
                <w:iCs/>
                <w:sz w:val="18"/>
                <w:u w:val="single"/>
                <w:lang w:val="en-US"/>
              </w:rPr>
              <w:t xml:space="preserve"> (</w:t>
            </w:r>
            <w:proofErr w:type="spellStart"/>
            <w:r w:rsidRPr="009C189C">
              <w:rPr>
                <w:rFonts w:ascii="Times New Roman" w:hAnsi="Times New Roman" w:cs="Times New Roman"/>
                <w:b/>
                <w:bCs/>
                <w:i/>
                <w:iCs/>
                <w:sz w:val="18"/>
                <w:u w:val="single"/>
                <w:lang w:val="en-US"/>
              </w:rPr>
              <w:t>to‘g‘ridan-to‘g‘ri</w:t>
            </w:r>
            <w:proofErr w:type="spellEnd"/>
            <w:r w:rsidRPr="009C189C">
              <w:rPr>
                <w:rFonts w:ascii="Times New Roman" w:hAnsi="Times New Roman" w:cs="Times New Roman"/>
                <w:b/>
                <w:bCs/>
                <w:i/>
                <w:iCs/>
                <w:sz w:val="18"/>
                <w:u w:val="single"/>
                <w:lang w:val="en-US"/>
              </w:rPr>
              <w:t xml:space="preserve">) </w:t>
            </w:r>
            <w:proofErr w:type="spellStart"/>
            <w:r w:rsidRPr="009C189C">
              <w:rPr>
                <w:rFonts w:ascii="Times New Roman" w:hAnsi="Times New Roman" w:cs="Times New Roman"/>
                <w:b/>
                <w:bCs/>
                <w:i/>
                <w:iCs/>
                <w:sz w:val="18"/>
                <w:u w:val="single"/>
                <w:lang w:val="en-US"/>
              </w:rPr>
              <w:t>natija</w:t>
            </w:r>
            <w:proofErr w:type="spellEnd"/>
            <w:r w:rsidRPr="009C189C">
              <w:rPr>
                <w:rFonts w:ascii="Times New Roman" w:hAnsi="Times New Roman" w:cs="Times New Roman"/>
                <w:b/>
                <w:bCs/>
                <w:i/>
                <w:iCs/>
                <w:sz w:val="18"/>
                <w:u w:val="single"/>
                <w:lang w:val="en-US"/>
              </w:rPr>
              <w:t xml:space="preserve"> </w:t>
            </w:r>
            <w:proofErr w:type="spellStart"/>
            <w:r w:rsidRPr="009C189C">
              <w:rPr>
                <w:rFonts w:ascii="Times New Roman" w:hAnsi="Times New Roman" w:cs="Times New Roman"/>
                <w:b/>
                <w:bCs/>
                <w:i/>
                <w:iCs/>
                <w:sz w:val="18"/>
                <w:u w:val="single"/>
                <w:lang w:val="en-US"/>
              </w:rPr>
              <w:t>ko‘rsatkichi</w:t>
            </w:r>
            <w:proofErr w:type="spellEnd"/>
          </w:p>
        </w:tc>
      </w:tr>
      <w:tr w:rsidR="00853C22" w:rsidRPr="00E16A32" w:rsidTr="005157EF">
        <w:trPr>
          <w:trHeight w:val="552"/>
        </w:trPr>
        <w:tc>
          <w:tcPr>
            <w:tcW w:w="641" w:type="dxa"/>
            <w:vAlign w:val="center"/>
          </w:tcPr>
          <w:p w:rsidR="00853C22" w:rsidRPr="009C189C" w:rsidRDefault="00853C22" w:rsidP="00853C22">
            <w:pPr>
              <w:jc w:val="center"/>
              <w:rPr>
                <w:rFonts w:ascii="Times New Roman" w:hAnsi="Times New Roman" w:cs="Times New Roman"/>
                <w:sz w:val="18"/>
                <w:lang w:val="uz-Cyrl-UZ"/>
              </w:rPr>
            </w:pPr>
            <w:r w:rsidRPr="009C189C">
              <w:rPr>
                <w:rFonts w:ascii="Times New Roman" w:hAnsi="Times New Roman" w:cs="Times New Roman"/>
                <w:sz w:val="18"/>
                <w:lang w:val="uz-Cyrl-UZ"/>
              </w:rPr>
              <w:lastRenderedPageBreak/>
              <w:t>5.</w:t>
            </w:r>
          </w:p>
        </w:tc>
        <w:tc>
          <w:tcPr>
            <w:tcW w:w="3323" w:type="dxa"/>
            <w:tcBorders>
              <w:top w:val="nil"/>
              <w:left w:val="single" w:sz="8" w:space="0" w:color="auto"/>
              <w:bottom w:val="single" w:sz="8" w:space="0" w:color="auto"/>
              <w:right w:val="single" w:sz="8" w:space="0" w:color="auto"/>
            </w:tcBorders>
            <w:shd w:val="clear" w:color="auto" w:fill="FFFFFF"/>
            <w:vAlign w:val="center"/>
          </w:tcPr>
          <w:p w:rsidR="00853C22" w:rsidRPr="003C2587" w:rsidRDefault="00853C22" w:rsidP="00853C22">
            <w:pPr>
              <w:pStyle w:val="a4"/>
              <w:spacing w:before="0" w:beforeAutospacing="0" w:after="0" w:afterAutospacing="0"/>
              <w:ind w:firstLine="102"/>
              <w:jc w:val="both"/>
              <w:rPr>
                <w:sz w:val="18"/>
                <w:szCs w:val="22"/>
                <w:lang w:val="en-US"/>
              </w:rPr>
            </w:pPr>
            <w:proofErr w:type="spellStart"/>
            <w:r w:rsidRPr="003C2587">
              <w:rPr>
                <w:sz w:val="18"/>
                <w:szCs w:val="22"/>
                <w:lang w:val="en-US"/>
              </w:rPr>
              <w:t>Reklama</w:t>
            </w:r>
            <w:proofErr w:type="spellEnd"/>
            <w:r w:rsidRPr="003C2587">
              <w:rPr>
                <w:sz w:val="18"/>
                <w:szCs w:val="22"/>
                <w:lang w:val="en-US"/>
              </w:rPr>
              <w:t xml:space="preserve"> </w:t>
            </w:r>
            <w:proofErr w:type="spellStart"/>
            <w:r w:rsidRPr="003C2587">
              <w:rPr>
                <w:sz w:val="18"/>
                <w:szCs w:val="22"/>
                <w:lang w:val="en-US"/>
              </w:rPr>
              <w:t>to‘g‘risidagi</w:t>
            </w:r>
            <w:proofErr w:type="spellEnd"/>
            <w:r w:rsidRPr="003C2587">
              <w:rPr>
                <w:sz w:val="18"/>
                <w:szCs w:val="22"/>
                <w:lang w:val="en-US"/>
              </w:rPr>
              <w:t xml:space="preserve"> </w:t>
            </w:r>
            <w:proofErr w:type="spellStart"/>
            <w:r w:rsidRPr="003C2587">
              <w:rPr>
                <w:sz w:val="18"/>
                <w:szCs w:val="22"/>
                <w:lang w:val="en-US"/>
              </w:rPr>
              <w:t>qonunchilik</w:t>
            </w:r>
            <w:proofErr w:type="spellEnd"/>
            <w:r w:rsidRPr="003C2587">
              <w:rPr>
                <w:sz w:val="18"/>
                <w:szCs w:val="22"/>
                <w:lang w:val="en-US"/>
              </w:rPr>
              <w:t xml:space="preserve"> </w:t>
            </w:r>
            <w:proofErr w:type="spellStart"/>
            <w:r w:rsidRPr="003C2587">
              <w:rPr>
                <w:sz w:val="18"/>
                <w:szCs w:val="22"/>
                <w:lang w:val="en-US"/>
              </w:rPr>
              <w:t>talablarining</w:t>
            </w:r>
            <w:proofErr w:type="spellEnd"/>
            <w:r w:rsidRPr="003C2587">
              <w:rPr>
                <w:sz w:val="18"/>
                <w:szCs w:val="22"/>
                <w:lang w:val="en-US"/>
              </w:rPr>
              <w:t xml:space="preserve"> </w:t>
            </w:r>
            <w:proofErr w:type="spellStart"/>
            <w:r w:rsidRPr="003C2587">
              <w:rPr>
                <w:sz w:val="18"/>
                <w:szCs w:val="22"/>
                <w:lang w:val="en-US"/>
              </w:rPr>
              <w:t>buzilishi</w:t>
            </w:r>
            <w:proofErr w:type="spellEnd"/>
            <w:r w:rsidRPr="003C2587">
              <w:rPr>
                <w:sz w:val="18"/>
                <w:szCs w:val="22"/>
                <w:lang w:val="en-US"/>
              </w:rPr>
              <w:t xml:space="preserve"> </w:t>
            </w:r>
            <w:proofErr w:type="spellStart"/>
            <w:r w:rsidRPr="003C2587">
              <w:rPr>
                <w:sz w:val="18"/>
                <w:szCs w:val="22"/>
                <w:lang w:val="en-US"/>
              </w:rPr>
              <w:t>darajasi</w:t>
            </w:r>
            <w:proofErr w:type="spellEnd"/>
            <w:r w:rsidRPr="003C2587">
              <w:rPr>
                <w:sz w:val="18"/>
                <w:szCs w:val="22"/>
                <w:lang w:val="en-US"/>
              </w:rPr>
              <w:t xml:space="preserve"> (</w:t>
            </w:r>
            <w:proofErr w:type="spellStart"/>
            <w:r w:rsidRPr="003C2587">
              <w:rPr>
                <w:sz w:val="18"/>
                <w:szCs w:val="22"/>
                <w:lang w:val="en-US"/>
              </w:rPr>
              <w:t>jami</w:t>
            </w:r>
            <w:proofErr w:type="spellEnd"/>
            <w:r w:rsidRPr="003C2587">
              <w:rPr>
                <w:sz w:val="18"/>
                <w:szCs w:val="22"/>
                <w:lang w:val="en-US"/>
              </w:rPr>
              <w:t xml:space="preserve"> </w:t>
            </w:r>
            <w:proofErr w:type="spellStart"/>
            <w:r w:rsidRPr="003C2587">
              <w:rPr>
                <w:sz w:val="18"/>
                <w:szCs w:val="22"/>
                <w:lang w:val="en-US"/>
              </w:rPr>
              <w:t>o‘tkazilgan</w:t>
            </w:r>
            <w:proofErr w:type="spellEnd"/>
            <w:r w:rsidRPr="003C2587">
              <w:rPr>
                <w:sz w:val="18"/>
                <w:szCs w:val="22"/>
                <w:lang w:val="en-US"/>
              </w:rPr>
              <w:t xml:space="preserve"> </w:t>
            </w:r>
            <w:proofErr w:type="spellStart"/>
            <w:r w:rsidRPr="003C2587">
              <w:rPr>
                <w:sz w:val="18"/>
                <w:szCs w:val="22"/>
                <w:lang w:val="en-US"/>
              </w:rPr>
              <w:t>monitoringlarga</w:t>
            </w:r>
            <w:proofErr w:type="spellEnd"/>
            <w:r w:rsidRPr="003C2587">
              <w:rPr>
                <w:sz w:val="18"/>
                <w:szCs w:val="22"/>
                <w:lang w:val="en-US"/>
              </w:rPr>
              <w:t xml:space="preserve"> </w:t>
            </w:r>
            <w:proofErr w:type="spellStart"/>
            <w:r w:rsidRPr="003C2587">
              <w:rPr>
                <w:sz w:val="18"/>
                <w:szCs w:val="22"/>
                <w:lang w:val="en-US"/>
              </w:rPr>
              <w:t>nisbatan</w:t>
            </w:r>
            <w:proofErr w:type="spellEnd"/>
            <w:r w:rsidRPr="003C2587">
              <w:rPr>
                <w:sz w:val="18"/>
                <w:szCs w:val="22"/>
                <w:lang w:val="en-US"/>
              </w:rPr>
              <w:t>)</w:t>
            </w:r>
          </w:p>
        </w:tc>
        <w:tc>
          <w:tcPr>
            <w:tcW w:w="993" w:type="dxa"/>
            <w:tcBorders>
              <w:top w:val="nil"/>
              <w:left w:val="nil"/>
              <w:bottom w:val="single" w:sz="8" w:space="0" w:color="auto"/>
              <w:right w:val="single" w:sz="8" w:space="0" w:color="auto"/>
            </w:tcBorders>
            <w:shd w:val="clear" w:color="auto" w:fill="FFFFFF"/>
            <w:vAlign w:val="center"/>
          </w:tcPr>
          <w:p w:rsidR="00853C22" w:rsidRPr="009C189C" w:rsidRDefault="00853C22" w:rsidP="00853C22">
            <w:pPr>
              <w:pStyle w:val="a4"/>
              <w:spacing w:before="0" w:beforeAutospacing="0" w:after="0" w:afterAutospacing="0"/>
              <w:jc w:val="center"/>
              <w:rPr>
                <w:sz w:val="18"/>
                <w:szCs w:val="22"/>
              </w:rPr>
            </w:pPr>
            <w:proofErr w:type="spellStart"/>
            <w:r w:rsidRPr="009C189C">
              <w:rPr>
                <w:sz w:val="18"/>
                <w:szCs w:val="22"/>
              </w:rPr>
              <w:t>foiz</w:t>
            </w:r>
            <w:proofErr w:type="spellEnd"/>
          </w:p>
        </w:tc>
        <w:tc>
          <w:tcPr>
            <w:tcW w:w="1322" w:type="dxa"/>
            <w:tcBorders>
              <w:top w:val="nil"/>
              <w:left w:val="nil"/>
              <w:bottom w:val="single" w:sz="8" w:space="0" w:color="auto"/>
              <w:right w:val="single" w:sz="8" w:space="0" w:color="auto"/>
            </w:tcBorders>
            <w:shd w:val="clear" w:color="auto" w:fill="FFFFFF"/>
            <w:vAlign w:val="center"/>
          </w:tcPr>
          <w:p w:rsidR="00853C22" w:rsidRPr="004E42DD" w:rsidRDefault="00853C22" w:rsidP="00853C22">
            <w:pPr>
              <w:pStyle w:val="a4"/>
              <w:spacing w:before="0" w:beforeAutospacing="0" w:after="0" w:afterAutospacing="0"/>
              <w:jc w:val="center"/>
              <w:rPr>
                <w:sz w:val="18"/>
                <w:szCs w:val="22"/>
                <w:lang w:val="en-US"/>
              </w:rPr>
            </w:pPr>
            <w:r>
              <w:rPr>
                <w:sz w:val="18"/>
                <w:szCs w:val="22"/>
                <w:lang w:val="en-US"/>
              </w:rPr>
              <w:t>23,0</w:t>
            </w:r>
          </w:p>
        </w:tc>
        <w:tc>
          <w:tcPr>
            <w:tcW w:w="946" w:type="dxa"/>
            <w:tcBorders>
              <w:top w:val="nil"/>
              <w:left w:val="nil"/>
              <w:bottom w:val="single" w:sz="8" w:space="0" w:color="auto"/>
              <w:right w:val="single" w:sz="8" w:space="0" w:color="auto"/>
            </w:tcBorders>
            <w:shd w:val="clear" w:color="auto" w:fill="FFFFFF"/>
            <w:vAlign w:val="center"/>
          </w:tcPr>
          <w:p w:rsidR="00853C22" w:rsidRPr="002975B0" w:rsidRDefault="00853C22" w:rsidP="00853C22">
            <w:pPr>
              <w:pStyle w:val="a4"/>
              <w:spacing w:before="0" w:beforeAutospacing="0" w:after="0" w:afterAutospacing="0"/>
              <w:jc w:val="center"/>
              <w:rPr>
                <w:sz w:val="18"/>
                <w:szCs w:val="22"/>
                <w:lang w:val="en-US"/>
              </w:rPr>
            </w:pPr>
            <w:r>
              <w:rPr>
                <w:sz w:val="18"/>
                <w:szCs w:val="22"/>
                <w:lang w:val="uz-Cyrl-UZ"/>
              </w:rPr>
              <w:t>3</w:t>
            </w:r>
            <w:r>
              <w:rPr>
                <w:sz w:val="18"/>
                <w:szCs w:val="22"/>
                <w:lang w:val="en-US"/>
              </w:rPr>
              <w:t>2</w:t>
            </w:r>
          </w:p>
        </w:tc>
        <w:tc>
          <w:tcPr>
            <w:tcW w:w="894" w:type="dxa"/>
            <w:tcBorders>
              <w:top w:val="nil"/>
              <w:left w:val="nil"/>
              <w:bottom w:val="single" w:sz="8" w:space="0" w:color="auto"/>
              <w:right w:val="single" w:sz="8" w:space="0" w:color="auto"/>
            </w:tcBorders>
            <w:shd w:val="clear" w:color="auto" w:fill="FFFFFF"/>
            <w:vAlign w:val="center"/>
          </w:tcPr>
          <w:p w:rsidR="00853C22" w:rsidRPr="002975B0" w:rsidRDefault="00853C22" w:rsidP="00853C22">
            <w:pPr>
              <w:pStyle w:val="a4"/>
              <w:spacing w:before="0" w:beforeAutospacing="0" w:after="0" w:afterAutospacing="0"/>
              <w:jc w:val="center"/>
              <w:rPr>
                <w:sz w:val="18"/>
                <w:szCs w:val="22"/>
                <w:lang w:val="en-US"/>
              </w:rPr>
            </w:pPr>
            <w:r>
              <w:rPr>
                <w:sz w:val="18"/>
                <w:szCs w:val="22"/>
                <w:lang w:val="uz-Cyrl-UZ"/>
              </w:rPr>
              <w:t>1</w:t>
            </w:r>
            <w:r>
              <w:rPr>
                <w:sz w:val="18"/>
                <w:szCs w:val="22"/>
                <w:lang w:val="en-US"/>
              </w:rPr>
              <w:t>1</w:t>
            </w:r>
          </w:p>
        </w:tc>
        <w:tc>
          <w:tcPr>
            <w:tcW w:w="949" w:type="dxa"/>
            <w:tcBorders>
              <w:top w:val="nil"/>
              <w:left w:val="nil"/>
              <w:bottom w:val="single" w:sz="8" w:space="0" w:color="auto"/>
              <w:right w:val="single" w:sz="8" w:space="0" w:color="auto"/>
            </w:tcBorders>
            <w:shd w:val="clear" w:color="auto" w:fill="FFFFFF"/>
            <w:vAlign w:val="center"/>
          </w:tcPr>
          <w:p w:rsidR="00853C22" w:rsidRPr="009C189C" w:rsidRDefault="00853C22" w:rsidP="00853C22">
            <w:pPr>
              <w:pStyle w:val="a4"/>
              <w:spacing w:before="0" w:beforeAutospacing="0" w:after="0" w:afterAutospacing="0"/>
              <w:jc w:val="center"/>
              <w:rPr>
                <w:sz w:val="18"/>
                <w:szCs w:val="22"/>
                <w:lang w:val="uz-Cyrl-UZ"/>
              </w:rPr>
            </w:pPr>
            <w:r>
              <w:rPr>
                <w:sz w:val="18"/>
                <w:szCs w:val="22"/>
                <w:lang w:val="uz-Cyrl-UZ"/>
              </w:rPr>
              <w:t>1</w:t>
            </w:r>
            <w:r>
              <w:rPr>
                <w:sz w:val="18"/>
                <w:szCs w:val="22"/>
                <w:lang w:val="en-US"/>
              </w:rPr>
              <w:t>39</w:t>
            </w:r>
            <w:r>
              <w:rPr>
                <w:sz w:val="18"/>
                <w:szCs w:val="22"/>
                <w:lang w:val="uz-Cyrl-UZ"/>
              </w:rPr>
              <w:t>%</w:t>
            </w:r>
          </w:p>
        </w:tc>
        <w:tc>
          <w:tcPr>
            <w:tcW w:w="6095" w:type="dxa"/>
            <w:tcBorders>
              <w:top w:val="nil"/>
              <w:left w:val="nil"/>
              <w:bottom w:val="single" w:sz="8" w:space="0" w:color="auto"/>
              <w:right w:val="single" w:sz="8" w:space="0" w:color="auto"/>
            </w:tcBorders>
            <w:shd w:val="clear" w:color="auto" w:fill="FFFFFF"/>
          </w:tcPr>
          <w:p w:rsidR="00E16A32" w:rsidRPr="00E16A32" w:rsidRDefault="00E16A32" w:rsidP="00E16A32">
            <w:pPr>
              <w:pStyle w:val="a4"/>
              <w:spacing w:before="0" w:beforeAutospacing="0" w:after="60" w:afterAutospacing="0"/>
              <w:ind w:firstLine="180"/>
              <w:jc w:val="both"/>
              <w:rPr>
                <w:sz w:val="18"/>
                <w:szCs w:val="22"/>
                <w:lang w:val="uz-Cyrl-UZ"/>
              </w:rPr>
            </w:pPr>
            <w:r w:rsidRPr="00E16A32">
              <w:rPr>
                <w:sz w:val="18"/>
                <w:szCs w:val="22"/>
                <w:lang w:val="uz-Cyrl-UZ"/>
              </w:rPr>
              <w:t>Qo‘mita tomonidan ommaviy axborot vositalari, ijtimoiy tarmoqlardagi sahifalarda va telegram messenjerida tashkil qilingan guruh va kanallarda, tashqi reklama va axborot ob'ektlarida (konstruksiyalarida) reklamalarni joylashtirilishi va tarqatilishi bo‘yicha jami 9 590 ta o‘rganishlar o‘tkazilgan.</w:t>
            </w:r>
          </w:p>
          <w:p w:rsidR="00E16A32" w:rsidRPr="00E16A32" w:rsidRDefault="00E16A32" w:rsidP="00E16A32">
            <w:pPr>
              <w:pStyle w:val="a4"/>
              <w:spacing w:before="0" w:beforeAutospacing="0" w:after="60" w:afterAutospacing="0"/>
              <w:ind w:firstLine="180"/>
              <w:jc w:val="both"/>
              <w:rPr>
                <w:sz w:val="18"/>
                <w:szCs w:val="22"/>
                <w:lang w:val="uz-Cyrl-UZ"/>
              </w:rPr>
            </w:pPr>
            <w:r w:rsidRPr="00E16A32">
              <w:rPr>
                <w:sz w:val="18"/>
                <w:szCs w:val="22"/>
                <w:lang w:val="uz-Cyrl-UZ"/>
              </w:rPr>
              <w:t>O‘rganish (monitoring)lar natijasida 3 116 ta holatda turli kamchiliklar aniqlanib, ularni tezkor bartaraf etish choralari ko‘rilgan.</w:t>
            </w:r>
          </w:p>
          <w:p w:rsidR="00E16A32" w:rsidRDefault="00E16A32" w:rsidP="00E16A32">
            <w:pPr>
              <w:pStyle w:val="a4"/>
              <w:spacing w:before="0" w:beforeAutospacing="0" w:after="60" w:afterAutospacing="0"/>
              <w:ind w:firstLine="180"/>
              <w:jc w:val="both"/>
              <w:rPr>
                <w:sz w:val="18"/>
                <w:szCs w:val="22"/>
                <w:lang w:val="uz-Cyrl-UZ"/>
              </w:rPr>
            </w:pPr>
            <w:r w:rsidRPr="00E16A32">
              <w:rPr>
                <w:sz w:val="18"/>
                <w:szCs w:val="22"/>
                <w:lang w:val="uz-Cyrl-UZ"/>
              </w:rPr>
              <w:t xml:space="preserve">Shundan 2 mingdan ortiq holatda reklamada davlat tili qonunchiligi buzilishi aniqlangan. </w:t>
            </w:r>
          </w:p>
          <w:p w:rsidR="00853C22" w:rsidRPr="009C189C" w:rsidRDefault="00E16A32" w:rsidP="00E16A32">
            <w:pPr>
              <w:pStyle w:val="a4"/>
              <w:spacing w:before="0" w:beforeAutospacing="0" w:after="60" w:afterAutospacing="0"/>
              <w:ind w:firstLine="180"/>
              <w:jc w:val="both"/>
              <w:rPr>
                <w:sz w:val="18"/>
                <w:szCs w:val="22"/>
                <w:lang w:val="uz-Cyrl-UZ"/>
              </w:rPr>
            </w:pPr>
            <w:r w:rsidRPr="00E16A32">
              <w:rPr>
                <w:sz w:val="18"/>
                <w:szCs w:val="22"/>
                <w:lang w:val="uz-Cyrl-UZ"/>
              </w:rPr>
              <w:t>Xususan, peshlavha, tashqi yozuvlar va boshqa e'lonlardagi hamda tashqi reklama vositasidagi reklamalar matni boshqa tillarda berilganligi, reklama va axborotlar matnida lug‘aviy ma'nosi buzilganligi va imloviy xatolar mavjudligi aniqlangan bo‘lib, kamchiliklarni tezkor bartaraf etish choralari ko‘rilgan hamda ularni davlat tili va reklama to‘g‘risidagi qonunchilik talablariga muvofiqlashtirilishi ta'minlangan.</w:t>
            </w:r>
          </w:p>
        </w:tc>
      </w:tr>
      <w:tr w:rsidR="001B2684" w:rsidRPr="004E42DD" w:rsidTr="005157EF">
        <w:trPr>
          <w:trHeight w:val="548"/>
        </w:trPr>
        <w:tc>
          <w:tcPr>
            <w:tcW w:w="641" w:type="dxa"/>
            <w:vAlign w:val="center"/>
          </w:tcPr>
          <w:p w:rsidR="001B2684" w:rsidRPr="009C189C" w:rsidRDefault="001B2684" w:rsidP="001B2684">
            <w:pPr>
              <w:jc w:val="center"/>
              <w:rPr>
                <w:rFonts w:ascii="Times New Roman" w:hAnsi="Times New Roman" w:cs="Times New Roman"/>
                <w:sz w:val="18"/>
                <w:lang w:val="uz-Cyrl-UZ"/>
              </w:rPr>
            </w:pPr>
            <w:r w:rsidRPr="009C189C">
              <w:rPr>
                <w:rFonts w:ascii="Times New Roman" w:hAnsi="Times New Roman" w:cs="Times New Roman"/>
                <w:sz w:val="18"/>
                <w:lang w:val="uz-Cyrl-UZ"/>
              </w:rPr>
              <w:t>6.</w:t>
            </w:r>
          </w:p>
        </w:tc>
        <w:tc>
          <w:tcPr>
            <w:tcW w:w="3323" w:type="dxa"/>
            <w:tcBorders>
              <w:top w:val="nil"/>
              <w:left w:val="single" w:sz="8" w:space="0" w:color="auto"/>
              <w:bottom w:val="single" w:sz="8" w:space="0" w:color="auto"/>
              <w:right w:val="single" w:sz="8" w:space="0" w:color="auto"/>
            </w:tcBorders>
            <w:shd w:val="clear" w:color="auto" w:fill="FFFFFF"/>
            <w:vAlign w:val="center"/>
          </w:tcPr>
          <w:p w:rsidR="001B2684" w:rsidRPr="003C2587" w:rsidRDefault="003C2587" w:rsidP="00F7303C">
            <w:pPr>
              <w:pStyle w:val="a4"/>
              <w:spacing w:before="0" w:beforeAutospacing="0" w:after="0" w:afterAutospacing="0"/>
              <w:ind w:firstLine="102"/>
              <w:jc w:val="both"/>
              <w:rPr>
                <w:sz w:val="18"/>
                <w:szCs w:val="22"/>
                <w:lang w:val="uz-Cyrl-UZ"/>
              </w:rPr>
            </w:pPr>
            <w:r w:rsidRPr="003C2587">
              <w:rPr>
                <w:sz w:val="18"/>
                <w:szCs w:val="22"/>
                <w:lang w:val="uz-Cyrl-UZ"/>
              </w:rPr>
              <w:t>Tovarlarni ekspertizadan o‘tkazish bo‘yicha nazorat xaridlari soni</w:t>
            </w:r>
          </w:p>
        </w:tc>
        <w:tc>
          <w:tcPr>
            <w:tcW w:w="993" w:type="dxa"/>
            <w:tcBorders>
              <w:top w:val="nil"/>
              <w:left w:val="nil"/>
              <w:bottom w:val="single" w:sz="8" w:space="0" w:color="auto"/>
              <w:right w:val="single" w:sz="8" w:space="0" w:color="auto"/>
            </w:tcBorders>
            <w:shd w:val="clear" w:color="auto" w:fill="FFFFFF"/>
            <w:vAlign w:val="center"/>
          </w:tcPr>
          <w:p w:rsidR="001B2684" w:rsidRPr="009C189C" w:rsidRDefault="001B2684" w:rsidP="001B2684">
            <w:pPr>
              <w:pStyle w:val="a4"/>
              <w:spacing w:before="0" w:beforeAutospacing="0" w:after="0" w:afterAutospacing="0"/>
              <w:jc w:val="center"/>
              <w:rPr>
                <w:sz w:val="18"/>
                <w:szCs w:val="22"/>
              </w:rPr>
            </w:pPr>
            <w:proofErr w:type="spellStart"/>
            <w:r w:rsidRPr="009C189C">
              <w:rPr>
                <w:sz w:val="18"/>
                <w:szCs w:val="22"/>
              </w:rPr>
              <w:t>dona</w:t>
            </w:r>
            <w:proofErr w:type="spellEnd"/>
          </w:p>
        </w:tc>
        <w:tc>
          <w:tcPr>
            <w:tcW w:w="1322" w:type="dxa"/>
            <w:tcBorders>
              <w:top w:val="nil"/>
              <w:left w:val="nil"/>
              <w:bottom w:val="single" w:sz="8" w:space="0" w:color="auto"/>
              <w:right w:val="single" w:sz="8" w:space="0" w:color="auto"/>
            </w:tcBorders>
            <w:shd w:val="clear" w:color="auto" w:fill="FFFFFF"/>
            <w:vAlign w:val="center"/>
          </w:tcPr>
          <w:p w:rsidR="001B2684" w:rsidRPr="004E42DD" w:rsidRDefault="00741978" w:rsidP="001B2684">
            <w:pPr>
              <w:pStyle w:val="a4"/>
              <w:spacing w:before="0" w:beforeAutospacing="0" w:after="0" w:afterAutospacing="0"/>
              <w:jc w:val="center"/>
              <w:rPr>
                <w:sz w:val="18"/>
                <w:szCs w:val="22"/>
                <w:lang w:val="en-US"/>
              </w:rPr>
            </w:pPr>
            <w:r>
              <w:rPr>
                <w:sz w:val="18"/>
                <w:szCs w:val="22"/>
                <w:lang w:val="en-US"/>
              </w:rPr>
              <w:t>265,0</w:t>
            </w:r>
          </w:p>
        </w:tc>
        <w:tc>
          <w:tcPr>
            <w:tcW w:w="946" w:type="dxa"/>
            <w:tcBorders>
              <w:top w:val="nil"/>
              <w:left w:val="nil"/>
              <w:bottom w:val="single" w:sz="8" w:space="0" w:color="auto"/>
              <w:right w:val="single" w:sz="8" w:space="0" w:color="auto"/>
            </w:tcBorders>
            <w:shd w:val="clear" w:color="auto" w:fill="FFFFFF"/>
            <w:vAlign w:val="center"/>
          </w:tcPr>
          <w:p w:rsidR="001B2684" w:rsidRPr="00B93748" w:rsidRDefault="00B93748" w:rsidP="001B2684">
            <w:pPr>
              <w:pStyle w:val="a4"/>
              <w:spacing w:before="0" w:beforeAutospacing="0" w:after="0" w:afterAutospacing="0"/>
              <w:jc w:val="center"/>
              <w:rPr>
                <w:sz w:val="18"/>
                <w:szCs w:val="22"/>
                <w:lang w:val="en-US"/>
              </w:rPr>
            </w:pPr>
            <w:r>
              <w:rPr>
                <w:sz w:val="18"/>
                <w:szCs w:val="22"/>
                <w:lang w:val="en-US"/>
              </w:rPr>
              <w:t>84</w:t>
            </w:r>
          </w:p>
        </w:tc>
        <w:tc>
          <w:tcPr>
            <w:tcW w:w="894" w:type="dxa"/>
            <w:tcBorders>
              <w:top w:val="nil"/>
              <w:left w:val="nil"/>
              <w:bottom w:val="single" w:sz="8" w:space="0" w:color="auto"/>
              <w:right w:val="single" w:sz="8" w:space="0" w:color="auto"/>
            </w:tcBorders>
            <w:shd w:val="clear" w:color="auto" w:fill="FFFFFF"/>
            <w:vAlign w:val="center"/>
          </w:tcPr>
          <w:p w:rsidR="001B2684" w:rsidRPr="00741978" w:rsidRDefault="00741978" w:rsidP="00DE7CD0">
            <w:pPr>
              <w:pStyle w:val="a4"/>
              <w:spacing w:before="0" w:beforeAutospacing="0" w:after="0" w:afterAutospacing="0"/>
              <w:jc w:val="center"/>
              <w:rPr>
                <w:sz w:val="18"/>
                <w:szCs w:val="22"/>
              </w:rPr>
            </w:pPr>
            <w:r>
              <w:rPr>
                <w:sz w:val="18"/>
                <w:szCs w:val="22"/>
              </w:rPr>
              <w:t>181,0</w:t>
            </w:r>
          </w:p>
        </w:tc>
        <w:tc>
          <w:tcPr>
            <w:tcW w:w="949" w:type="dxa"/>
            <w:tcBorders>
              <w:top w:val="nil"/>
              <w:left w:val="nil"/>
              <w:bottom w:val="single" w:sz="8" w:space="0" w:color="auto"/>
              <w:right w:val="single" w:sz="8" w:space="0" w:color="auto"/>
            </w:tcBorders>
            <w:shd w:val="clear" w:color="auto" w:fill="FFFFFF"/>
            <w:vAlign w:val="center"/>
          </w:tcPr>
          <w:p w:rsidR="001B2684" w:rsidRPr="00B93748" w:rsidRDefault="00741978" w:rsidP="00DE7CD0">
            <w:pPr>
              <w:pStyle w:val="a4"/>
              <w:spacing w:before="0" w:beforeAutospacing="0" w:after="0" w:afterAutospacing="0"/>
              <w:jc w:val="center"/>
              <w:rPr>
                <w:sz w:val="18"/>
                <w:szCs w:val="22"/>
                <w:lang w:val="en-US"/>
              </w:rPr>
            </w:pPr>
            <w:r>
              <w:rPr>
                <w:sz w:val="18"/>
                <w:szCs w:val="22"/>
              </w:rPr>
              <w:t>32</w:t>
            </w:r>
            <w:r w:rsidR="00B93748">
              <w:rPr>
                <w:sz w:val="18"/>
                <w:szCs w:val="22"/>
                <w:lang w:val="en-US"/>
              </w:rPr>
              <w:t>%</w:t>
            </w:r>
          </w:p>
        </w:tc>
        <w:tc>
          <w:tcPr>
            <w:tcW w:w="6095" w:type="dxa"/>
            <w:tcBorders>
              <w:top w:val="nil"/>
              <w:left w:val="nil"/>
              <w:bottom w:val="single" w:sz="8" w:space="0" w:color="auto"/>
              <w:right w:val="single" w:sz="8" w:space="0" w:color="auto"/>
            </w:tcBorders>
            <w:shd w:val="clear" w:color="auto" w:fill="FFFFFF"/>
          </w:tcPr>
          <w:p w:rsidR="001B2684" w:rsidRPr="009C189C" w:rsidRDefault="00B93748" w:rsidP="00F8755C">
            <w:pPr>
              <w:pStyle w:val="a4"/>
              <w:spacing w:before="0" w:beforeAutospacing="0" w:after="60" w:afterAutospacing="0"/>
              <w:ind w:firstLine="180"/>
              <w:jc w:val="both"/>
              <w:rPr>
                <w:sz w:val="18"/>
                <w:szCs w:val="22"/>
                <w:lang w:val="uz-Cyrl-UZ"/>
              </w:rPr>
            </w:pPr>
            <w:r w:rsidRPr="00B93748">
              <w:rPr>
                <w:sz w:val="18"/>
                <w:szCs w:val="22"/>
                <w:lang w:val="uz-Cyrl-UZ"/>
              </w:rPr>
              <w:t>Qo‘mita tomonidan 2024 yil 1-choragi davomida jami 84 nomdagi mahsulotlar nazorat xarid qilinib, akkreditasiyadan o‘tgan laboratoriyalarda tekshirilganda, ularning 19 nomdagisi (22,6 %) amaldagi texnik jihatdan tartibga solish hujjatlariga nomuvofiqligi aniqlangan. Nomuvofiqligi aniqlangan mahsulotlarni savdo rastalaridan qaytarib olish va belgilangan tartibda chora ko‘rish uchun O‘zbekiston texnik jihatdan tartibga solish agentligiga yuborilgan.</w:t>
            </w:r>
          </w:p>
        </w:tc>
      </w:tr>
    </w:tbl>
    <w:p w:rsidR="00D162A0" w:rsidRDefault="00D162A0" w:rsidP="00D162A0">
      <w:pPr>
        <w:jc w:val="center"/>
        <w:rPr>
          <w:rFonts w:ascii="Times New Roman" w:hAnsi="Times New Roman" w:cs="Times New Roman"/>
          <w:sz w:val="28"/>
          <w:lang w:val="uz-Cyrl-UZ"/>
        </w:rPr>
      </w:pPr>
    </w:p>
    <w:p w:rsidR="00554FD1" w:rsidRDefault="00554FD1" w:rsidP="00D162A0">
      <w:pPr>
        <w:jc w:val="center"/>
        <w:rPr>
          <w:rFonts w:ascii="Times New Roman" w:hAnsi="Times New Roman" w:cs="Times New Roman"/>
          <w:sz w:val="28"/>
          <w:lang w:val="uz-Cyrl-UZ"/>
        </w:rPr>
      </w:pPr>
      <w:bookmarkStart w:id="0" w:name="_GoBack"/>
      <w:bookmarkEnd w:id="0"/>
    </w:p>
    <w:sectPr w:rsidR="00554FD1" w:rsidSect="004E42DD">
      <w:pgSz w:w="16838" w:h="11906" w:orient="landscape"/>
      <w:pgMar w:top="851" w:right="1134"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E38"/>
    <w:rsid w:val="00002B4A"/>
    <w:rsid w:val="00021623"/>
    <w:rsid w:val="00023882"/>
    <w:rsid w:val="00045ADC"/>
    <w:rsid w:val="00052813"/>
    <w:rsid w:val="00071E1B"/>
    <w:rsid w:val="000821F0"/>
    <w:rsid w:val="000C07A2"/>
    <w:rsid w:val="000D44EB"/>
    <w:rsid w:val="00102897"/>
    <w:rsid w:val="00113DA1"/>
    <w:rsid w:val="001B2684"/>
    <w:rsid w:val="001B5AED"/>
    <w:rsid w:val="001C64CF"/>
    <w:rsid w:val="0020688F"/>
    <w:rsid w:val="002311F7"/>
    <w:rsid w:val="00246E7C"/>
    <w:rsid w:val="002676BE"/>
    <w:rsid w:val="002A5CB9"/>
    <w:rsid w:val="00317BDF"/>
    <w:rsid w:val="00322BFA"/>
    <w:rsid w:val="003304EF"/>
    <w:rsid w:val="003C2587"/>
    <w:rsid w:val="003E2110"/>
    <w:rsid w:val="00417E3E"/>
    <w:rsid w:val="00420B61"/>
    <w:rsid w:val="004334C1"/>
    <w:rsid w:val="00490B57"/>
    <w:rsid w:val="00490FFA"/>
    <w:rsid w:val="004C3AE9"/>
    <w:rsid w:val="004E42DD"/>
    <w:rsid w:val="004E4E38"/>
    <w:rsid w:val="005157EF"/>
    <w:rsid w:val="00525C17"/>
    <w:rsid w:val="00554FD1"/>
    <w:rsid w:val="005C2A62"/>
    <w:rsid w:val="005C4BC0"/>
    <w:rsid w:val="00620DDC"/>
    <w:rsid w:val="006911DA"/>
    <w:rsid w:val="006A66BE"/>
    <w:rsid w:val="00741978"/>
    <w:rsid w:val="00744322"/>
    <w:rsid w:val="007C520A"/>
    <w:rsid w:val="007F1CEF"/>
    <w:rsid w:val="00802680"/>
    <w:rsid w:val="008424CF"/>
    <w:rsid w:val="008439CF"/>
    <w:rsid w:val="00853C22"/>
    <w:rsid w:val="008A4A3A"/>
    <w:rsid w:val="008B5D46"/>
    <w:rsid w:val="0092619F"/>
    <w:rsid w:val="0094205C"/>
    <w:rsid w:val="009922AD"/>
    <w:rsid w:val="009C189C"/>
    <w:rsid w:val="00A20D10"/>
    <w:rsid w:val="00A36120"/>
    <w:rsid w:val="00AD5BCA"/>
    <w:rsid w:val="00B1470D"/>
    <w:rsid w:val="00B21E78"/>
    <w:rsid w:val="00B93748"/>
    <w:rsid w:val="00BE2017"/>
    <w:rsid w:val="00D162A0"/>
    <w:rsid w:val="00D86B69"/>
    <w:rsid w:val="00D91AC7"/>
    <w:rsid w:val="00DA2064"/>
    <w:rsid w:val="00DC01D8"/>
    <w:rsid w:val="00DC7957"/>
    <w:rsid w:val="00DE29DD"/>
    <w:rsid w:val="00DE7CD0"/>
    <w:rsid w:val="00E16A32"/>
    <w:rsid w:val="00E3772C"/>
    <w:rsid w:val="00E9164C"/>
    <w:rsid w:val="00EE3A4D"/>
    <w:rsid w:val="00F0472D"/>
    <w:rsid w:val="00F12AFD"/>
    <w:rsid w:val="00F63109"/>
    <w:rsid w:val="00F7303C"/>
    <w:rsid w:val="00F87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9B032-905C-4F2F-BBBF-FF485C6A1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6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5C4B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17E3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17E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60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9FE36-EB2E-4BAF-89C6-011A0D6C4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3800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Абдували А. Хакимов</dc:creator>
  <cp:keywords/>
  <dc:description/>
  <cp:lastModifiedBy>Улуғбек Н. Фаязов</cp:lastModifiedBy>
  <cp:revision>3</cp:revision>
  <cp:lastPrinted>2024-01-19T16:40:00Z</cp:lastPrinted>
  <dcterms:created xsi:type="dcterms:W3CDTF">2024-04-13T11:59:00Z</dcterms:created>
  <dcterms:modified xsi:type="dcterms:W3CDTF">2024-04-13T11:59:00Z</dcterms:modified>
</cp:coreProperties>
</file>